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5F" w:rsidRPr="009A225F" w:rsidRDefault="009A225F" w:rsidP="009A225F">
      <w:pPr>
        <w:widowControl/>
        <w:shd w:val="clear" w:color="auto" w:fill="FFFFFF"/>
        <w:spacing w:line="560" w:lineRule="exact"/>
        <w:jc w:val="center"/>
        <w:rPr>
          <w:rFonts w:asciiTheme="minorEastAsia" w:hAnsiTheme="minorEastAsia" w:cs="宋体"/>
          <w:kern w:val="0"/>
          <w:sz w:val="44"/>
          <w:szCs w:val="44"/>
        </w:rPr>
      </w:pPr>
      <w:r w:rsidRPr="009A225F">
        <w:rPr>
          <w:rFonts w:asciiTheme="minorEastAsia" w:hAnsiTheme="minorEastAsia" w:cs="宋体" w:hint="eastAsia"/>
          <w:kern w:val="0"/>
          <w:sz w:val="44"/>
          <w:szCs w:val="44"/>
        </w:rPr>
        <w:t>青岛市交通工程评标专家复审细则</w:t>
      </w:r>
    </w:p>
    <w:p w:rsidR="009A225F" w:rsidRP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为规范青岛市交通工程评标专家复审工作，统一专家资格、评标专业等复审标准，确保专家信息真实、准确、完整，制定本细则。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left="643"/>
        <w:rPr>
          <w:rFonts w:ascii="微软雅黑" w:eastAsia="微软雅黑" w:hAnsi="微软雅黑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第一条</w:t>
      </w:r>
      <w:r>
        <w:rPr>
          <w:rFonts w:ascii="微软雅黑" w:eastAsia="微软雅黑" w:hAnsi="微软雅黑" w:hint="eastAsia"/>
          <w:color w:val="333333"/>
          <w:sz w:val="32"/>
          <w:szCs w:val="32"/>
          <w:bdr w:val="none" w:sz="0" w:space="0" w:color="auto" w:frame="1"/>
        </w:rPr>
        <w:t> </w:t>
      </w: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姓名与照片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left="-2" w:firstLine="630"/>
        <w:rPr>
          <w:rFonts w:ascii="微软雅黑" w:eastAsia="微软雅黑" w:hAnsi="微软雅黑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标准：姓名与身份证姓名一致，照片为近期白底彩色免冠照片。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3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复审要求：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填报姓名与本人身份证姓名不一致；照片底色非白色、模糊不清，以及PS照片的，均视为不符合</w:t>
      </w:r>
      <w:r w:rsidR="005016A5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。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3"/>
        <w:rPr>
          <w:rFonts w:ascii="微软雅黑" w:eastAsia="微软雅黑" w:hAnsi="微软雅黑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第二条</w:t>
      </w:r>
      <w:r>
        <w:rPr>
          <w:rFonts w:ascii="微软雅黑" w:eastAsia="微软雅黑" w:hAnsi="微软雅黑" w:hint="eastAsia"/>
          <w:color w:val="333333"/>
          <w:sz w:val="32"/>
          <w:szCs w:val="32"/>
          <w:bdr w:val="none" w:sz="0" w:space="0" w:color="auto" w:frame="1"/>
        </w:rPr>
        <w:t> </w:t>
      </w: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身份证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标准：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身份证为有效期内的二代身份证，身份证号码与上传身份证号码一致。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复审要求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上传非二代身份证的，或者身份证号码与上传身份证号码不一致的，均视为不符合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。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left="643"/>
        <w:rPr>
          <w:rFonts w:ascii="微软雅黑" w:eastAsia="微软雅黑" w:hAnsi="微软雅黑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第三条</w:t>
      </w:r>
      <w:r>
        <w:rPr>
          <w:rFonts w:ascii="微软雅黑" w:eastAsia="微软雅黑" w:hAnsi="微软雅黑" w:hint="eastAsia"/>
          <w:color w:val="333333"/>
          <w:sz w:val="32"/>
          <w:szCs w:val="32"/>
          <w:bdr w:val="none" w:sz="0" w:space="0" w:color="auto" w:frame="1"/>
        </w:rPr>
        <w:t> </w:t>
      </w: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工作单位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3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工作单位名称为具有法人资格（依法注册的社会团体）的单位全称。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复审要求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填写的单位名称为简称、法人单位内设机构（例如：将山东大学，填写为“山大、山东大学中心校区、山东大学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lastRenderedPageBreak/>
        <w:t>土建与水利学院、山东大学基建处”等）</w:t>
      </w:r>
      <w:r w:rsidR="0098654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，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以及含有错别字、同音字、异体字等，均视为不符合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。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第四条</w:t>
      </w:r>
      <w:r>
        <w:rPr>
          <w:rFonts w:ascii="微软雅黑" w:eastAsia="微软雅黑" w:hAnsi="微软雅黑" w:hint="eastAsia"/>
          <w:color w:val="333333"/>
          <w:sz w:val="32"/>
          <w:szCs w:val="32"/>
          <w:bdr w:val="none" w:sz="0" w:space="0" w:color="auto" w:frame="1"/>
        </w:rPr>
        <w:t> </w:t>
      </w: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从事相关领域工作</w:t>
      </w:r>
      <w:r>
        <w:rPr>
          <w:rFonts w:ascii="微软雅黑" w:eastAsia="微软雅黑" w:hAnsi="微软雅黑" w:hint="eastAsia"/>
          <w:color w:val="333333"/>
          <w:sz w:val="32"/>
          <w:szCs w:val="32"/>
          <w:bdr w:val="none" w:sz="0" w:space="0" w:color="auto" w:frame="1"/>
        </w:rPr>
        <w:t>  </w:t>
      </w:r>
      <w:r>
        <w:rPr>
          <w:rFonts w:hint="eastAsia"/>
          <w:color w:val="333333"/>
          <w:sz w:val="32"/>
          <w:szCs w:val="32"/>
          <w:bdr w:val="none" w:sz="0" w:space="0" w:color="auto" w:frame="1"/>
        </w:rPr>
        <w:t>  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从事相关领域工作指申报专家从事与所选评标专业相应的工作，从事相关领域工作须满8年。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复审要求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从事相关领域工作满8年可以连续计算，也可以分段计算。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从事的工作与评标专业无关或者从事相关领域工作不满8年的，均视为不符合</w:t>
      </w:r>
      <w:r w:rsidR="005016A5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。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第五条</w:t>
      </w:r>
      <w:r>
        <w:rPr>
          <w:rFonts w:ascii="微软雅黑" w:eastAsia="微软雅黑" w:hAnsi="微软雅黑" w:hint="eastAsia"/>
          <w:color w:val="333333"/>
          <w:sz w:val="32"/>
          <w:szCs w:val="32"/>
          <w:bdr w:val="none" w:sz="0" w:space="0" w:color="auto" w:frame="1"/>
        </w:rPr>
        <w:t>  </w:t>
      </w: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评标专业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3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从事相关领域工作满8年，并且填报的评标专业与职称专业或者注册执业资格专业完全对应。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3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复审要求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 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从事相关领域工作与评标专业不对应的；职称专业或者注册执业资格专业与评标专业不对应的；职称专业或者注册执业资格专业仅与评标专业部分对应的，均视为不符合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。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2"/>
        <w:rPr>
          <w:rFonts w:ascii="微软雅黑" w:eastAsia="微软雅黑" w:hAnsi="微软雅黑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第六条</w:t>
      </w:r>
      <w:r>
        <w:rPr>
          <w:rFonts w:ascii="微软雅黑" w:eastAsia="微软雅黑" w:hAnsi="微软雅黑" w:hint="eastAsia"/>
          <w:color w:val="333333"/>
          <w:sz w:val="32"/>
          <w:szCs w:val="32"/>
          <w:bdr w:val="none" w:sz="0" w:space="0" w:color="auto" w:frame="1"/>
        </w:rPr>
        <w:t> </w:t>
      </w: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职称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2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具有工程技术（工程经济）高级职称或副教授、教授、副研究员、研究员，职称专业与评标专业对应。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2"/>
        <w:rPr>
          <w:rFonts w:ascii="微软雅黑" w:eastAsia="微软雅黑" w:hAnsi="微软雅黑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具有工程技术（或工程经济）中级职称的，取得中级职称满6年，同时具有相应的注册执业资格。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2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lastRenderedPageBreak/>
        <w:t>复审要求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职称专业与评标专业不对应的；只具有相关专业中级职称而无相应注册执业资格的，均视为不符合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。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2"/>
        <w:rPr>
          <w:rFonts w:ascii="微软雅黑" w:eastAsia="微软雅黑" w:hAnsi="微软雅黑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职称证书未填写专业的，根据印章所属行业判定其相应专业。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第七条</w:t>
      </w:r>
      <w:r w:rsidR="00C37C1D">
        <w:rPr>
          <w:rFonts w:hint="eastAsia"/>
          <w:color w:val="333333"/>
          <w:sz w:val="32"/>
          <w:szCs w:val="32"/>
          <w:bdr w:val="none" w:sz="0" w:space="0" w:color="auto" w:frame="1"/>
        </w:rPr>
        <w:t xml:space="preserve"> </w:t>
      </w: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注册执业资格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住房城乡建设部门</w:t>
      </w:r>
      <w:r w:rsidR="0098654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或交通运输部门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核发的注册执业资格专业与评标专业对应。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复审要求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注册执业资格专业与评标专业不对应或者取得相应中级职称不满6年的，均视为不符合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。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第八条</w:t>
      </w:r>
      <w:r>
        <w:rPr>
          <w:rFonts w:ascii="微软雅黑" w:eastAsia="微软雅黑" w:hAnsi="微软雅黑" w:hint="eastAsia"/>
          <w:color w:val="333333"/>
          <w:sz w:val="32"/>
          <w:szCs w:val="32"/>
          <w:bdr w:val="none" w:sz="0" w:space="0" w:color="auto" w:frame="1"/>
        </w:rPr>
        <w:t>  </w:t>
      </w: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同等专业水平</w:t>
      </w:r>
    </w:p>
    <w:p w:rsidR="009A225F" w:rsidRPr="00FC42F9" w:rsidRDefault="00FC42F9" w:rsidP="00FC42F9">
      <w:pPr>
        <w:pStyle w:val="a5"/>
        <w:shd w:val="clear" w:color="auto" w:fill="FFFFFF"/>
        <w:spacing w:before="0" w:beforeAutospacing="0" w:after="0" w:afterAutospacing="0"/>
        <w:ind w:firstLine="642"/>
        <w:rPr>
          <w:rFonts w:ascii="楷体_GB2312" w:eastAsia="楷体_GB2312" w:hAnsi="微软雅黑"/>
          <w:color w:val="333333"/>
          <w:sz w:val="32"/>
          <w:szCs w:val="32"/>
          <w:bdr w:val="none" w:sz="0" w:space="0" w:color="auto" w:frame="1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标准：</w:t>
      </w:r>
      <w:r w:rsidR="004C5C9F">
        <w:rPr>
          <w:rFonts w:ascii="仿宋_GB2312" w:eastAsia="仿宋_GB2312" w:hAnsi="仿宋_GB2312" w:hint="eastAsia"/>
          <w:sz w:val="32"/>
          <w:szCs w:val="32"/>
        </w:rPr>
        <w:t>复审</w:t>
      </w:r>
      <w:r w:rsidR="004C5C9F">
        <w:rPr>
          <w:rFonts w:ascii="仿宋_GB2312" w:eastAsia="仿宋_GB2312" w:hAnsi="仿宋_GB2312"/>
          <w:sz w:val="32"/>
          <w:szCs w:val="32"/>
        </w:rPr>
        <w:t>专家须具备《山东省公共资源交易综合评标评审专家库和专家管理暂行办法》(鲁政字〔2016〕218号）有关专家资格条件</w:t>
      </w:r>
      <w:r>
        <w:rPr>
          <w:rFonts w:asciiTheme="minorHAnsi" w:eastAsia="仿宋_GB2312" w:hAnsiTheme="minorHAnsi" w:hint="eastAsia"/>
          <w:sz w:val="32"/>
          <w:szCs w:val="32"/>
        </w:rPr>
        <w:t>“从事相关专业领域工作满</w:t>
      </w:r>
      <w:r>
        <w:rPr>
          <w:rFonts w:asciiTheme="minorHAnsi" w:eastAsia="仿宋_GB2312" w:hAnsiTheme="minorHAnsi" w:hint="eastAsia"/>
          <w:sz w:val="32"/>
          <w:szCs w:val="32"/>
        </w:rPr>
        <w:t>8</w:t>
      </w:r>
      <w:r>
        <w:rPr>
          <w:rFonts w:asciiTheme="minorHAnsi" w:eastAsia="仿宋_GB2312" w:hAnsiTheme="minorHAnsi" w:hint="eastAsia"/>
          <w:sz w:val="32"/>
          <w:szCs w:val="32"/>
        </w:rPr>
        <w:t>年并具有高级职称或者同等专业水平”</w:t>
      </w:r>
      <w:r w:rsidR="004C5C9F">
        <w:rPr>
          <w:rFonts w:ascii="仿宋_GB2312" w:eastAsia="仿宋_GB2312" w:hAnsi="仿宋_GB2312"/>
          <w:sz w:val="32"/>
          <w:szCs w:val="32"/>
        </w:rPr>
        <w:t>，其中，“同等专业水平”是指</w:t>
      </w: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“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取得工程技术（或工程经济）中级职称满6年并具有住房城乡建设部门</w:t>
      </w:r>
      <w:r w:rsidR="0098654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或交通运输部门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核发的建设类注册执业资格（资格分级的，应为一级）</w:t>
      </w: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”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。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2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复审要求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相关专业中级职称不满6年的；中级职称专业与评标专业不对应的；只有相关专业中级职称而无相应注册执业资格的；只有注册执业资格而无相关专业中级职称的，均视为不符合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。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第九条</w:t>
      </w:r>
      <w:r w:rsidR="00C37C1D">
        <w:rPr>
          <w:rFonts w:hint="eastAsia"/>
          <w:color w:val="333333"/>
          <w:sz w:val="32"/>
          <w:szCs w:val="32"/>
          <w:bdr w:val="none" w:sz="0" w:space="0" w:color="auto" w:frame="1"/>
        </w:rPr>
        <w:t xml:space="preserve"> </w:t>
      </w: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证书上传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lastRenderedPageBreak/>
        <w:t>标准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对应评标专业的职称证书、注册执业资格证书，包含姓名、照片、单位、专业，以及带印章的页面必须上传。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复审要求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证书不上传或者上传页面不全、模糊不清的，均视为不符合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。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专家上传与评标专业无关的证书，审核时不予认可。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第十条</w:t>
      </w:r>
      <w:r w:rsidR="00147FD4"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 xml:space="preserve"> </w:t>
      </w: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工作经历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近10年工作经历填写要完整，单位名称为具有法人资格（依法注册的社会团体）的单位全称。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复审要求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出现断档期（依法保密单位除外）的，视为不符合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。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第十一条</w:t>
      </w:r>
      <w:r>
        <w:rPr>
          <w:rFonts w:ascii="微软雅黑" w:eastAsia="微软雅黑" w:hAnsi="微软雅黑" w:hint="eastAsia"/>
          <w:color w:val="333333"/>
          <w:sz w:val="32"/>
          <w:szCs w:val="32"/>
          <w:bdr w:val="none" w:sz="0" w:space="0" w:color="auto" w:frame="1"/>
        </w:rPr>
        <w:t>  </w:t>
      </w: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评标专业级别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147FD4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评标专业按照交通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工程专家专业分类</w:t>
      </w:r>
      <w:r w:rsidR="00147FD4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选到最末一级。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复审要求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勘察专业可以适当放宽，选到第二级即视为符合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。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第十二条</w:t>
      </w:r>
      <w:r>
        <w:rPr>
          <w:rFonts w:ascii="微软雅黑" w:eastAsia="微软雅黑" w:hAnsi="微软雅黑" w:hint="eastAsia"/>
          <w:color w:val="333333"/>
          <w:sz w:val="32"/>
          <w:szCs w:val="32"/>
          <w:bdr w:val="none" w:sz="0" w:space="0" w:color="auto" w:frame="1"/>
        </w:rPr>
        <w:t>  </w:t>
      </w: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回避单位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回避单位为本人近3年工作单位、执业类资格注册单位、与本人存在利害关系的单位等。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3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复审要求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与本人存在利害关系、依法应当回避的单位，申报专家未主动添加的，视为不符合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标准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。</w:t>
      </w:r>
    </w:p>
    <w:p w:rsidR="009A225F" w:rsidRDefault="009A225F" w:rsidP="00147FD4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lastRenderedPageBreak/>
        <w:t>第十三条</w:t>
      </w:r>
      <w:r w:rsidR="00147FD4">
        <w:rPr>
          <w:rFonts w:hint="eastAsia"/>
          <w:color w:val="333333"/>
          <w:sz w:val="32"/>
          <w:szCs w:val="32"/>
          <w:bdr w:val="none" w:sz="0" w:space="0" w:color="auto" w:frame="1"/>
        </w:rPr>
        <w:t xml:space="preserve"> </w:t>
      </w: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适当放宽年龄的条件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复审要求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147FD4" w:rsidRPr="00147FD4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年龄一般不超过65周岁，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身体健康且满足下列条件之一的可放宽到70周岁。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1.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具有正高级相关专业职称、8年以上的评标经历且无不良记录的；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2.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担任过省级以上重点工程负责人（需验证相关文件）的；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3.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在技术创新及解决重大工程难题方面成绩显著，获得省级以上奖励或获得相关领域大师称号（需验证相关证书）的；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4.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 </w:t>
      </w:r>
      <w:r w:rsidR="00147FD4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勘察类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稀缺专业的专家；</w:t>
      </w:r>
    </w:p>
    <w:p w:rsidR="009A225F" w:rsidRDefault="00147FD4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第十四</w:t>
      </w:r>
      <w:r w:rsidR="009A225F"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条</w:t>
      </w:r>
      <w:r>
        <w:rPr>
          <w:rFonts w:hint="eastAsia"/>
          <w:color w:val="333333"/>
          <w:sz w:val="32"/>
          <w:szCs w:val="32"/>
          <w:bdr w:val="none" w:sz="0" w:space="0" w:color="auto" w:frame="1"/>
        </w:rPr>
        <w:t xml:space="preserve"> </w:t>
      </w:r>
      <w:r w:rsidR="009A225F"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专家材料验证</w:t>
      </w:r>
    </w:p>
    <w:p w:rsidR="009A225F" w:rsidRDefault="005016A5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复审要求</w:t>
      </w:r>
      <w:r w:rsidR="009A225F">
        <w:rPr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：</w:t>
      </w:r>
      <w:r w:rsidR="00147FD4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复</w:t>
      </w:r>
      <w:r w:rsidR="00036C34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审时，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须验证身份证、职称证书和注册执业资格证书</w:t>
      </w:r>
      <w:r w:rsidR="00617232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（</w:t>
      </w:r>
      <w:r w:rsidR="00036C34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若需要）</w:t>
      </w:r>
      <w:r w:rsidR="009A225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等上传扫描件的原件。</w:t>
      </w:r>
    </w:p>
    <w:p w:rsidR="009A225F" w:rsidRDefault="009A225F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上报信息与相关证书原件载明信息不一致的，视为弄虚作假骗取专家资格，按相关规定处理。</w:t>
      </w:r>
    </w:p>
    <w:p w:rsidR="00BB6A5A" w:rsidRDefault="00BB6A5A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</w:pPr>
    </w:p>
    <w:p w:rsidR="00BB6A5A" w:rsidRDefault="00BB6A5A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 xml:space="preserve">                           </w:t>
      </w:r>
      <w:r w:rsidR="00036C34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 xml:space="preserve">  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 xml:space="preserve"> 青岛市行政审批服务局</w:t>
      </w:r>
    </w:p>
    <w:p w:rsidR="00BB6A5A" w:rsidRDefault="00BB6A5A" w:rsidP="009A225F">
      <w:pPr>
        <w:pStyle w:val="a5"/>
        <w:shd w:val="clear" w:color="auto" w:fill="FFFFFF"/>
        <w:spacing w:before="0" w:beforeAutospacing="0" w:after="0" w:afterAutospacing="0"/>
        <w:ind w:firstLine="640"/>
        <w:rPr>
          <w:rFonts w:ascii="微软雅黑" w:eastAsia="微软雅黑" w:hAnsi="微软雅黑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 xml:space="preserve">                                </w:t>
      </w:r>
      <w:r w:rsidR="00036C34"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  <w:t>2019年</w:t>
      </w:r>
      <w:r w:rsidR="00036C34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6</w:t>
      </w:r>
      <w:r w:rsidR="00036C34"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  <w:t>月</w:t>
      </w:r>
      <w:r w:rsidR="0093299B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17</w:t>
      </w:r>
      <w:r w:rsidR="00036C34">
        <w:rPr>
          <w:rFonts w:ascii="仿宋_GB2312" w:eastAsia="仿宋_GB2312" w:hAnsi="微软雅黑"/>
          <w:color w:val="333333"/>
          <w:sz w:val="32"/>
          <w:szCs w:val="32"/>
          <w:bdr w:val="none" w:sz="0" w:space="0" w:color="auto" w:frame="1"/>
        </w:rPr>
        <w:t>日</w:t>
      </w:r>
    </w:p>
    <w:p w:rsidR="00445951" w:rsidRDefault="00445951"/>
    <w:sectPr w:rsidR="00445951" w:rsidSect="009A225F">
      <w:pgSz w:w="11906" w:h="16838"/>
      <w:pgMar w:top="2155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CC5" w:rsidRDefault="003A2CC5" w:rsidP="009A225F">
      <w:r>
        <w:separator/>
      </w:r>
    </w:p>
  </w:endnote>
  <w:endnote w:type="continuationSeparator" w:id="1">
    <w:p w:rsidR="003A2CC5" w:rsidRDefault="003A2CC5" w:rsidP="009A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CC5" w:rsidRDefault="003A2CC5" w:rsidP="009A225F">
      <w:r>
        <w:separator/>
      </w:r>
    </w:p>
  </w:footnote>
  <w:footnote w:type="continuationSeparator" w:id="1">
    <w:p w:rsidR="003A2CC5" w:rsidRDefault="003A2CC5" w:rsidP="009A2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25F"/>
    <w:rsid w:val="00036C34"/>
    <w:rsid w:val="00147FD4"/>
    <w:rsid w:val="002740F3"/>
    <w:rsid w:val="003A2CC5"/>
    <w:rsid w:val="00445951"/>
    <w:rsid w:val="004C5C9F"/>
    <w:rsid w:val="005016A5"/>
    <w:rsid w:val="00561BB4"/>
    <w:rsid w:val="00617232"/>
    <w:rsid w:val="007E5A81"/>
    <w:rsid w:val="0093299B"/>
    <w:rsid w:val="0098654F"/>
    <w:rsid w:val="009A225F"/>
    <w:rsid w:val="00AA203C"/>
    <w:rsid w:val="00B14716"/>
    <w:rsid w:val="00BB6A5A"/>
    <w:rsid w:val="00C37C1D"/>
    <w:rsid w:val="00FC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2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22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2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22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9A22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4E9B-A2CB-4F1A-93E9-89964891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2019-05-22T07:22:00Z</dcterms:created>
  <dcterms:modified xsi:type="dcterms:W3CDTF">2019-06-17T01:52:00Z</dcterms:modified>
</cp:coreProperties>
</file>