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textAlignment w:val="baseline"/>
        <w:rPr>
          <w:rFonts w:ascii="方正小标宋_GBK" w:hAnsi="方正小标宋_GBK" w:eastAsia="方正小标宋_GBK" w:cs="方正小标宋_GBK"/>
          <w:sz w:val="44"/>
          <w:szCs w:val="44"/>
        </w:rPr>
      </w:pPr>
    </w:p>
    <w:p>
      <w:pPr>
        <w:spacing w:line="580" w:lineRule="exact"/>
        <w:textAlignment w:val="baseline"/>
        <w:rPr>
          <w:rFonts w:ascii="方正小标宋_GBK" w:hAnsi="方正小标宋_GBK" w:eastAsia="方正小标宋_GBK" w:cs="方正小标宋_GBK"/>
          <w:sz w:val="44"/>
          <w:szCs w:val="44"/>
        </w:rPr>
      </w:pPr>
    </w:p>
    <w:p>
      <w:pPr>
        <w:spacing w:line="580" w:lineRule="exact"/>
        <w:textAlignment w:val="baseline"/>
        <w:rPr>
          <w:rFonts w:ascii="方正小标宋_GBK" w:hAnsi="方正小标宋_GBK" w:eastAsia="方正小标宋_GBK" w:cs="方正小标宋_GBK"/>
          <w:sz w:val="44"/>
          <w:szCs w:val="44"/>
        </w:rPr>
      </w:pPr>
    </w:p>
    <w:p>
      <w:pPr>
        <w:overflowPunct w:val="0"/>
        <w:spacing w:line="520" w:lineRule="exact"/>
        <w:rPr>
          <w:rFonts w:ascii="仿宋_GB2312" w:hAnsi="Times New Roman" w:eastAsia="仿宋_GB2312" w:cs="Times New Roman"/>
          <w:sz w:val="44"/>
          <w:szCs w:val="44"/>
        </w:rPr>
      </w:pPr>
    </w:p>
    <w:p>
      <w:pPr>
        <w:overflowPunct w:val="0"/>
        <w:spacing w:line="520" w:lineRule="exact"/>
        <w:jc w:val="center"/>
        <w:rPr>
          <w:rFonts w:ascii="仿宋_GB2312" w:hAnsi="Calibri" w:eastAsia="仿宋_GB2312" w:cs="Times New Roman"/>
          <w:sz w:val="28"/>
          <w:szCs w:val="28"/>
        </w:rPr>
      </w:pPr>
      <w:r>
        <w:rPr>
          <w:rFonts w:hint="eastAsia" w:ascii="方正小标宋_GBK" w:hAnsi="Times New Roman" w:eastAsia="方正小标宋_GBK" w:cs="Times New Roman"/>
          <w:sz w:val="44"/>
          <w:szCs w:val="44"/>
        </w:rPr>
        <w:t>政府采购项目需求方案</w:t>
      </w:r>
    </w:p>
    <w:p>
      <w:pPr>
        <w:overflowPunct w:val="0"/>
        <w:spacing w:line="520" w:lineRule="exact"/>
        <w:ind w:firstLine="560" w:firstLineChars="200"/>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28"/>
          <w:szCs w:val="28"/>
        </w:rPr>
      </w:pPr>
    </w:p>
    <w:p>
      <w:pPr>
        <w:overflowPunct w:val="0"/>
        <w:spacing w:line="520" w:lineRule="exact"/>
        <w:rPr>
          <w:rFonts w:ascii="仿宋_GB2312" w:hAnsi="Times New Roman" w:eastAsia="仿宋_GB2312" w:cs="Times New Roman"/>
          <w:sz w:val="32"/>
          <w:szCs w:val="32"/>
        </w:rPr>
      </w:pP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采购单位：青岛山大齐鲁医院</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采购代理机构：青岛市政务服务和公共资源交易中心</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项目名称：青岛山大齐鲁医院</w:t>
      </w:r>
      <w:r>
        <w:rPr>
          <w:rFonts w:hint="eastAsia" w:ascii="仿宋_GB2312" w:eastAsia="仿宋_GB2312" w:cs="Times New Roman" w:hAnsiTheme="minorEastAsia"/>
          <w:sz w:val="32"/>
          <w:szCs w:val="32"/>
          <w:lang w:val="en-US" w:eastAsia="zh-CN"/>
        </w:rPr>
        <w:t>手术室、介入室等科室不锈钢家具</w:t>
      </w:r>
      <w:r>
        <w:rPr>
          <w:rFonts w:hint="eastAsia" w:ascii="仿宋_GB2312" w:eastAsia="仿宋_GB2312" w:cs="Times New Roman" w:hAnsiTheme="minorEastAsia"/>
          <w:sz w:val="32"/>
          <w:szCs w:val="32"/>
        </w:rPr>
        <w:t>采购项目</w:t>
      </w:r>
    </w:p>
    <w:p>
      <w:pPr>
        <w:overflowPunct w:val="0"/>
        <w:spacing w:line="560" w:lineRule="exact"/>
        <w:ind w:firstLine="640" w:firstLineChars="200"/>
        <w:rPr>
          <w:rFonts w:ascii="仿宋_GB2312" w:eastAsia="仿宋_GB2312" w:cs="Times New Roman" w:hAnsiTheme="minorEastAsia"/>
          <w:sz w:val="32"/>
          <w:szCs w:val="32"/>
        </w:rPr>
      </w:pPr>
      <w:r>
        <w:rPr>
          <w:rFonts w:hint="eastAsia" w:ascii="仿宋_GB2312" w:eastAsia="仿宋_GB2312" w:cs="Times New Roman" w:hAnsiTheme="minorEastAsia"/>
          <w:sz w:val="32"/>
          <w:szCs w:val="32"/>
        </w:rPr>
        <w:t>编制时间：2023年1</w:t>
      </w:r>
      <w:r>
        <w:rPr>
          <w:rFonts w:hint="eastAsia" w:ascii="仿宋_GB2312" w:eastAsia="仿宋_GB2312" w:cs="Times New Roman" w:hAnsiTheme="minorEastAsia"/>
          <w:sz w:val="32"/>
          <w:szCs w:val="32"/>
          <w:lang w:val="en-US" w:eastAsia="zh-CN"/>
        </w:rPr>
        <w:t>1</w:t>
      </w:r>
      <w:r>
        <w:rPr>
          <w:rFonts w:hint="eastAsia" w:ascii="仿宋_GB2312" w:eastAsia="仿宋_GB2312" w:cs="Times New Roman" w:hAnsiTheme="minorEastAsia"/>
          <w:sz w:val="32"/>
          <w:szCs w:val="32"/>
        </w:rPr>
        <w:t>月</w:t>
      </w:r>
      <w:r>
        <w:rPr>
          <w:rFonts w:hint="eastAsia" w:ascii="仿宋_GB2312" w:eastAsia="仿宋_GB2312" w:cs="Times New Roman" w:hAnsiTheme="minorEastAsia"/>
          <w:sz w:val="32"/>
          <w:szCs w:val="32"/>
          <w:lang w:val="en-US" w:eastAsia="zh-CN"/>
        </w:rPr>
        <w:t>1</w:t>
      </w:r>
      <w:r>
        <w:rPr>
          <w:rFonts w:hint="eastAsia" w:ascii="仿宋_GB2312" w:eastAsia="仿宋_GB2312" w:cs="Times New Roman" w:hAnsiTheme="minorEastAsia"/>
          <w:sz w:val="32"/>
          <w:szCs w:val="32"/>
        </w:rPr>
        <w:t>日</w:t>
      </w:r>
    </w:p>
    <w:p>
      <w:pPr>
        <w:overflowPunct w:val="0"/>
        <w:spacing w:line="560" w:lineRule="exact"/>
        <w:rPr>
          <w:rFonts w:ascii="仿宋_GB2312" w:eastAsia="仿宋_GB2312" w:cs="Times New Roman" w:hAnsiTheme="minorEastAsia"/>
          <w:sz w:val="32"/>
          <w:szCs w:val="32"/>
        </w:rPr>
      </w:pPr>
    </w:p>
    <w:p>
      <w:pPr>
        <w:spacing w:line="560" w:lineRule="exact"/>
        <w:ind w:firstLine="560" w:firstLineChars="200"/>
        <w:jc w:val="left"/>
        <w:rPr>
          <w:rFonts w:ascii="仿宋_GB2312" w:eastAsia="仿宋_GB2312" w:cs="Times New Roman" w:hAnsiTheme="minorEastAsia"/>
          <w:sz w:val="28"/>
          <w:szCs w:val="28"/>
        </w:rPr>
      </w:pPr>
    </w:p>
    <w:p>
      <w:pPr>
        <w:spacing w:line="560" w:lineRule="exact"/>
        <w:ind w:firstLine="560" w:firstLineChars="200"/>
        <w:jc w:val="left"/>
        <w:rPr>
          <w:rFonts w:ascii="仿宋_GB2312" w:eastAsia="仿宋_GB2312" w:cs="Times New Roman" w:hAnsiTheme="minorEastAsia"/>
          <w:sz w:val="28"/>
          <w:szCs w:val="28"/>
        </w:rPr>
      </w:pPr>
    </w:p>
    <w:p>
      <w:pPr>
        <w:spacing w:line="560" w:lineRule="exact"/>
        <w:ind w:firstLine="560" w:firstLineChars="200"/>
        <w:jc w:val="left"/>
        <w:rPr>
          <w:rFonts w:ascii="仿宋_GB2312" w:eastAsia="仿宋_GB2312" w:cs="Times New Roman" w:hAnsiTheme="minorEastAsia"/>
          <w:sz w:val="28"/>
          <w:szCs w:val="28"/>
        </w:rPr>
      </w:pPr>
    </w:p>
    <w:p>
      <w:pPr>
        <w:spacing w:line="560" w:lineRule="exact"/>
        <w:ind w:firstLine="640" w:firstLineChars="200"/>
        <w:jc w:val="left"/>
        <w:rPr>
          <w:rFonts w:ascii="黑体" w:hAnsi="黑体" w:eastAsia="黑体"/>
          <w:sz w:val="32"/>
          <w:szCs w:val="32"/>
        </w:rPr>
      </w:pPr>
      <w:r>
        <w:rPr>
          <w:rFonts w:hint="eastAsia" w:ascii="黑体" w:hAnsi="黑体" w:eastAsia="黑体" w:cs="仿宋"/>
          <w:bCs/>
          <w:sz w:val="32"/>
          <w:szCs w:val="32"/>
        </w:rPr>
        <w:t>一、项目概况及预算情况</w:t>
      </w:r>
    </w:p>
    <w:p>
      <w:pPr>
        <w:overflowPunct w:val="0"/>
        <w:adjustRightInd w:val="0"/>
        <w:snapToGrid w:val="0"/>
        <w:spacing w:line="560" w:lineRule="exact"/>
        <w:ind w:firstLine="640" w:firstLineChars="200"/>
        <w:rPr>
          <w:rFonts w:ascii="楷体_GB2312" w:eastAsia="楷体_GB2312" w:cs="Times New Roman" w:hAnsiTheme="minorEastAsia"/>
          <w:sz w:val="32"/>
          <w:szCs w:val="32"/>
        </w:rPr>
      </w:pPr>
      <w:r>
        <w:rPr>
          <w:rFonts w:hint="eastAsia" w:ascii="楷体_GB2312" w:eastAsia="楷体_GB2312" w:cs="Times New Roman" w:hAnsiTheme="minorEastAsia"/>
          <w:sz w:val="32"/>
          <w:szCs w:val="32"/>
        </w:rPr>
        <w:t>（一）项目概况</w:t>
      </w:r>
    </w:p>
    <w:p>
      <w:pPr>
        <w:overflowPunct w:val="0"/>
        <w:adjustRightInd w:val="0"/>
        <w:snapToGrid w:val="0"/>
        <w:spacing w:line="3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山东大学齐鲁医院（青岛）二期项目于2021年6月份开工建设，医疗综合楼主楼及裙房全部主体封顶，正进行室内精装修及设备调试施工。预计2023年10月份交付使用。本次招标项目针对二期项目门诊和病房配置相关家具，家具包括</w:t>
      </w:r>
      <w:r>
        <w:rPr>
          <w:rFonts w:hint="eastAsia" w:ascii="仿宋_GB2312" w:hAnsi="仿宋_GB2312" w:eastAsia="仿宋_GB2312" w:cs="仿宋_GB2312"/>
          <w:sz w:val="28"/>
          <w:szCs w:val="28"/>
          <w:lang w:val="en-US" w:eastAsia="zh-CN"/>
        </w:rPr>
        <w:t>手术室、介入室等科室的不锈钢</w:t>
      </w:r>
      <w:r>
        <w:rPr>
          <w:rFonts w:hint="eastAsia" w:ascii="仿宋_GB2312" w:hAnsi="仿宋_GB2312" w:eastAsia="仿宋_GB2312" w:cs="仿宋_GB2312"/>
          <w:sz w:val="28"/>
          <w:szCs w:val="28"/>
        </w:rPr>
        <w:t>家具</w:t>
      </w:r>
      <w:r>
        <w:rPr>
          <w:rFonts w:hint="eastAsia" w:ascii="仿宋_GB2312" w:hAnsi="仿宋_GB2312" w:eastAsia="仿宋_GB2312" w:cs="仿宋_GB2312"/>
          <w:sz w:val="28"/>
          <w:szCs w:val="28"/>
          <w:lang w:eastAsia="zh-CN"/>
        </w:rPr>
        <w:t>，家具需根据文件中的规格进行定制</w:t>
      </w:r>
      <w:r>
        <w:rPr>
          <w:rFonts w:hint="eastAsia" w:ascii="仿宋_GB2312" w:hAnsi="仿宋_GB2312" w:eastAsia="仿宋_GB2312" w:cs="仿宋_GB2312"/>
          <w:sz w:val="28"/>
          <w:szCs w:val="28"/>
        </w:rPr>
        <w:t>。</w:t>
      </w:r>
    </w:p>
    <w:p>
      <w:pPr>
        <w:overflowPunct w:val="0"/>
        <w:adjustRightInd w:val="0"/>
        <w:snapToGrid w:val="0"/>
        <w:spacing w:line="560" w:lineRule="exact"/>
        <w:ind w:firstLine="640" w:firstLineChars="200"/>
        <w:rPr>
          <w:rFonts w:ascii="楷体_GB2312" w:eastAsia="楷体_GB2312" w:cs="Times New Roman" w:hAnsiTheme="minorEastAsia"/>
          <w:sz w:val="32"/>
          <w:szCs w:val="32"/>
        </w:rPr>
      </w:pPr>
      <w:r>
        <w:rPr>
          <w:rFonts w:hint="eastAsia" w:ascii="楷体_GB2312" w:eastAsia="楷体_GB2312" w:cs="Times New Roman" w:hAnsiTheme="minorEastAsia"/>
          <w:sz w:val="32"/>
          <w:szCs w:val="32"/>
        </w:rPr>
        <w:t>（二）预算情况</w:t>
      </w:r>
    </w:p>
    <w:p>
      <w:pPr>
        <w:overflowPunct w:val="0"/>
        <w:adjustRightInd w:val="0"/>
        <w:snapToGrid w:val="0"/>
        <w:spacing w:line="320" w:lineRule="exact"/>
        <w:ind w:firstLine="560" w:firstLineChars="200"/>
        <w:rPr>
          <w:rFonts w:ascii="黑体" w:hAnsi="黑体" w:eastAsia="黑体"/>
          <w:sz w:val="32"/>
          <w:szCs w:val="32"/>
        </w:rPr>
      </w:pPr>
      <w:r>
        <w:rPr>
          <w:rFonts w:hint="eastAsia" w:ascii="仿宋_GB2312" w:hAnsi="仿宋_GB2312" w:eastAsia="仿宋_GB2312" w:cs="仿宋_GB2312"/>
          <w:sz w:val="28"/>
          <w:szCs w:val="28"/>
        </w:rPr>
        <w:t>项目总预算</w:t>
      </w:r>
      <w:r>
        <w:rPr>
          <w:rFonts w:hint="eastAsia" w:ascii="仿宋_GB2312" w:hAnsi="仿宋_GB2312" w:eastAsia="仿宋_GB2312" w:cs="仿宋_GB2312"/>
          <w:sz w:val="28"/>
          <w:szCs w:val="28"/>
          <w:lang w:val="en-US" w:eastAsia="zh-CN"/>
        </w:rPr>
        <w:t>189.09</w:t>
      </w:r>
      <w:r>
        <w:rPr>
          <w:rFonts w:hint="eastAsia" w:ascii="仿宋_GB2312" w:hAnsi="仿宋_GB2312" w:eastAsia="仿宋_GB2312" w:cs="仿宋_GB2312"/>
          <w:sz w:val="28"/>
          <w:szCs w:val="28"/>
        </w:rPr>
        <w:t>万元，资金来源为自有资金。</w:t>
      </w:r>
    </w:p>
    <w:p>
      <w:pPr>
        <w:pStyle w:val="11"/>
      </w:pPr>
    </w:p>
    <w:p>
      <w:pPr>
        <w:numPr>
          <w:ilvl w:val="0"/>
          <w:numId w:val="1"/>
        </w:numPr>
        <w:overflowPunct w:val="0"/>
        <w:adjustRightInd w:val="0"/>
        <w:snapToGrid w:val="0"/>
        <w:spacing w:line="320" w:lineRule="exact"/>
        <w:rPr>
          <w:rFonts w:ascii="黑体" w:hAnsi="黑体" w:eastAsia="黑体" w:cs="仿宋"/>
          <w:bCs/>
          <w:sz w:val="32"/>
          <w:szCs w:val="32"/>
        </w:rPr>
      </w:pPr>
      <w:r>
        <w:rPr>
          <w:rFonts w:hint="eastAsia" w:ascii="黑体" w:hAnsi="黑体" w:eastAsia="黑体" w:cs="仿宋"/>
          <w:bCs/>
          <w:sz w:val="32"/>
          <w:szCs w:val="32"/>
        </w:rPr>
        <w:t>采购标的具体情况</w:t>
      </w:r>
    </w:p>
    <w:p>
      <w:pPr>
        <w:overflowPunct w:val="0"/>
        <w:adjustRightInd w:val="0"/>
        <w:snapToGrid w:val="0"/>
        <w:spacing w:line="320" w:lineRule="exact"/>
        <w:ind w:left="800"/>
        <w:rPr>
          <w:rFonts w:ascii="黑体" w:hAnsi="黑体" w:eastAsia="黑体" w:cs="仿宋"/>
          <w:bCs/>
          <w:sz w:val="32"/>
          <w:szCs w:val="32"/>
        </w:rPr>
      </w:pPr>
    </w:p>
    <w:tbl>
      <w:tblPr>
        <w:tblStyle w:val="13"/>
        <w:tblW w:w="9114" w:type="dxa"/>
        <w:tblInd w:w="-52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1"/>
        <w:gridCol w:w="1384"/>
        <w:gridCol w:w="773"/>
        <w:gridCol w:w="1039"/>
        <w:gridCol w:w="773"/>
        <w:gridCol w:w="4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科室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设备名称及政府采购品目编码</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单价（万元）</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金额（万元）</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需要详细参数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8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病人推车（红轮）</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A02322700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规格：1950*600*780mm   标配防水海绵床垫，置物筐，输液架 。一、技术参数：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1、两大轮担架车采用优质304不锈钢管加工而成，厚度均达到实际厚度1.0mm以上。</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2、两个摩托车充气铝合金轮，耐用可靠。两个150mm重型加厚型脚轮。</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3、担架车床面采用优质304不锈钢一级板折弯而成。</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4、两侧护栏上下翻动的关键部分弹簧，采用304不锈钢专用弹簧。</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5、上下车体抬动部分，利用平衡工程力学设计，对接容易。并且四角固定部分采用8mm不锈钢棒模具成型，强度增加。</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6、床面上有对角输液架插孔，不管病人抬动时还是推送时，都可以输液。</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7、不锈钢升降输液架，ABS紧固系统，内镶铜丝套，收放自如。</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8、车体下面有一个置物筐。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pPr>
            <w:r>
              <w:rPr>
                <w:rFonts w:hint="eastAsia" w:ascii="宋体" w:hAnsi="宋体" w:eastAsia="宋体" w:cs="宋体"/>
                <w:i w:val="0"/>
                <w:iCs w:val="0"/>
                <w:color w:val="000000"/>
                <w:kern w:val="0"/>
                <w:sz w:val="24"/>
                <w:szCs w:val="24"/>
                <w:u w:val="none"/>
                <w:lang w:val="en-US" w:eastAsia="zh-CN" w:bidi="ar"/>
              </w:rPr>
              <w:t>手术室圆凳（固定脚）A05010399</w:t>
            </w: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180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bottom"/>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0.02</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1、尺寸：Φ340*480/650（mm）</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2、凳面采用优质304不锈钢板一次压铸成型；</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3、凳腿采用304不锈钢管焊接而成；</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4、腿脚带有脚帽，可升降。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pPr>
            <w:r>
              <w:rPr>
                <w:rFonts w:hint="eastAsia" w:ascii="宋体" w:hAnsi="宋体" w:eastAsia="宋体" w:cs="宋体"/>
                <w:i w:val="0"/>
                <w:iCs w:val="0"/>
                <w:color w:val="000000"/>
                <w:kern w:val="0"/>
                <w:sz w:val="24"/>
                <w:szCs w:val="24"/>
                <w:u w:val="none"/>
                <w:lang w:val="en-US" w:eastAsia="zh-CN" w:bidi="ar"/>
              </w:rPr>
              <w:t>器械柜</w:t>
            </w:r>
            <w:r>
              <w:rPr>
                <w:rFonts w:hint="eastAsia" w:asciiTheme="minorEastAsia" w:hAnsiTheme="minorEastAsia" w:eastAsiaTheme="minorEastAsia" w:cstheme="minorEastAsia"/>
                <w:color w:val="000000"/>
                <w:kern w:val="0"/>
                <w:sz w:val="24"/>
                <w:szCs w:val="24"/>
                <w:lang w:val="en-US" w:eastAsia="zh-CN" w:bidi="ar"/>
              </w:rPr>
              <w:t>A05010599</w:t>
            </w:r>
          </w:p>
          <w:p>
            <w:pPr>
              <w:keepNext w:val="0"/>
              <w:keepLines w:val="0"/>
              <w:widowControl/>
              <w:suppressLineNumbers w:val="0"/>
              <w:jc w:val="left"/>
            </w:pPr>
          </w:p>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规格尺寸：900×400×1750mm；一、技术参数：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1.材质∶柜体采用优质304不锈钢材料，主材厚度≥1.0mm。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2.透明通体对开门设计，加厚三岔口胶条，稳固保护3c质量安全认证钢化玻璃安全，内有四层搁板，高低可调。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物品柜</w:t>
            </w:r>
            <w:r>
              <w:rPr>
                <w:rFonts w:hint="eastAsia" w:asciiTheme="minorEastAsia" w:hAnsiTheme="minorEastAsia" w:eastAsiaTheme="minorEastAsia" w:cstheme="minorEastAsia"/>
                <w:color w:val="000000"/>
                <w:kern w:val="0"/>
                <w:sz w:val="24"/>
                <w:szCs w:val="24"/>
                <w:lang w:val="en-US" w:eastAsia="zh-CN" w:bidi="ar"/>
              </w:rPr>
              <w:t>A05010599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规格尺寸：900×400×1750mm；技术参数：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1.材质∶柜体采用优质304不锈钢材料，主材厚度≥1.0mm。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2.柜体上层透明通体对开门设计，方便拿取器械物品。加厚三岔口胶条，稳固保护3c质量安全认证钢化玻璃安全，内有三层搁板，高低可调。</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3.柜体上层不锈钢封闭对开门设计，内有一层搁板，高低可调。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存储柜</w:t>
            </w:r>
            <w:r>
              <w:rPr>
                <w:rFonts w:hint="eastAsia" w:asciiTheme="minorEastAsia" w:hAnsiTheme="minorEastAsia" w:eastAsiaTheme="minorEastAsia" w:cstheme="minorEastAsia"/>
                <w:color w:val="000000"/>
                <w:kern w:val="0"/>
                <w:sz w:val="24"/>
                <w:szCs w:val="24"/>
                <w:lang w:val="en-US" w:eastAsia="zh-CN" w:bidi="ar"/>
              </w:rPr>
              <w:t>A05010599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规格尺寸：900×400×1750mm；一、技术参数：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1.材质∶柜体采用优质304不锈钢材料，主材厚度≥1.0mm。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2.柜体上层透明通体对开门设计。加厚三岔口胶条，稳固保护3c质量安全认证钢化玻璃安全，内有两层搁板，高低可调。</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3.柜体中间两个抽屉，抽屉滑道采用三节静音式滑轮。</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4.柜体上层不锈钢封闭对开门设计，内有一层搁板，高低可调。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储镜柜</w:t>
            </w:r>
            <w:r>
              <w:rPr>
                <w:rFonts w:hint="eastAsia" w:asciiTheme="minorEastAsia" w:hAnsiTheme="minorEastAsia" w:eastAsiaTheme="minorEastAsia" w:cstheme="minorEastAsia"/>
                <w:color w:val="000000"/>
                <w:kern w:val="0"/>
                <w:sz w:val="24"/>
                <w:szCs w:val="24"/>
                <w:lang w:val="en-US" w:eastAsia="zh-CN" w:bidi="ar"/>
              </w:rPr>
              <w:t>A05010599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规格尺寸：900×400×1750mm；一、技术参数：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1.材质∶座面采用优质304不锈钢材料，主材厚度≥1.0mm。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2.柜体中间两个抽屉，抽屉滑道采用三节静音式滑轮。</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3.柜体上层/下层不锈钢封闭对开门设计，各内有两层搁板，高低可调。</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4.柜体采用1.0mm厚优质冷轧钢板制成。</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5.柜体表面涂装采用静电喷塑，耐化学腐蚀性和电绝缘性，喷塑颜色可选择，喷塑材料环保无毒、抗菌，防霉；涂层表面光洁亮丽，不脱落，不生锈、防静电，附着力高。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标本存放柜</w:t>
            </w:r>
            <w:r>
              <w:rPr>
                <w:rFonts w:hint="eastAsia" w:asciiTheme="minorEastAsia" w:hAnsiTheme="minorEastAsia" w:eastAsiaTheme="minorEastAsia" w:cstheme="minorEastAsia"/>
                <w:color w:val="000000"/>
                <w:kern w:val="0"/>
                <w:sz w:val="24"/>
                <w:szCs w:val="24"/>
                <w:lang w:val="en-US" w:eastAsia="zh-CN" w:bidi="ar"/>
              </w:rPr>
              <w:t>A05010599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0.1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0.2</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both"/>
              <w:textAlignment w:val="center"/>
              <w:rPr>
                <w:rStyle w:val="40"/>
                <w:rFonts w:hint="eastAsia" w:ascii="宋体" w:hAnsi="宋体" w:eastAsia="宋体" w:cs="宋体"/>
                <w:sz w:val="24"/>
                <w:szCs w:val="24"/>
                <w:lang w:val="en-US" w:eastAsia="zh-CN" w:bidi="ar"/>
              </w:rPr>
            </w:pPr>
            <w:r>
              <w:rPr>
                <w:rStyle w:val="39"/>
                <w:rFonts w:hint="eastAsia" w:ascii="宋体" w:hAnsi="宋体" w:eastAsia="宋体" w:cs="宋体"/>
                <w:sz w:val="24"/>
                <w:szCs w:val="24"/>
                <w:lang w:val="en-US" w:eastAsia="zh-CN" w:bidi="ar"/>
              </w:rPr>
              <w:t>规格尺寸：</w:t>
            </w:r>
            <w:r>
              <w:rPr>
                <w:rStyle w:val="40"/>
                <w:rFonts w:hint="eastAsia" w:ascii="宋体" w:hAnsi="宋体" w:eastAsia="宋体" w:cs="宋体"/>
                <w:sz w:val="24"/>
                <w:szCs w:val="24"/>
                <w:lang w:val="en-US" w:eastAsia="zh-CN" w:bidi="ar"/>
              </w:rPr>
              <w:t>900×240/400×1750mm  一、技术参数：1.材质∶座面与台面采用优质304不锈钢材料，主材厚度≥1.0mm。</w:t>
            </w:r>
          </w:p>
          <w:p>
            <w:pPr>
              <w:keepNext w:val="0"/>
              <w:keepLines w:val="0"/>
              <w:widowControl/>
              <w:suppressLineNumbers w:val="0"/>
              <w:spacing w:line="360" w:lineRule="auto"/>
              <w:jc w:val="both"/>
              <w:textAlignment w:val="center"/>
              <w:rPr>
                <w:rFonts w:hint="eastAsia" w:ascii="宋体" w:hAnsi="宋体" w:eastAsia="宋体" w:cs="宋体"/>
                <w:b/>
                <w:bCs/>
                <w:i w:val="0"/>
                <w:iCs w:val="0"/>
                <w:color w:val="000000"/>
                <w:sz w:val="24"/>
                <w:szCs w:val="24"/>
                <w:u w:val="none"/>
              </w:rPr>
            </w:pPr>
            <w:r>
              <w:rPr>
                <w:rStyle w:val="40"/>
                <w:rFonts w:hint="eastAsia" w:ascii="宋体" w:hAnsi="宋体" w:eastAsia="宋体" w:cs="宋体"/>
                <w:sz w:val="24"/>
                <w:szCs w:val="24"/>
                <w:lang w:val="en-US" w:eastAsia="zh-CN" w:bidi="ar"/>
              </w:rPr>
              <w:t>2.上层为推拉门设计，内嵌玻璃，三层搁板，高低可调，可以锁闭。中层配有两个抽屉，优质锁芯；滑道采用三节静音式滑轮，抽拉灵活，无噪音。下层为对开门,内侧有一层活动搁板。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摆药台</w:t>
            </w:r>
            <w:r>
              <w:rPr>
                <w:rFonts w:hint="eastAsia" w:asciiTheme="minorEastAsia" w:hAnsiTheme="minorEastAsia" w:eastAsiaTheme="minorEastAsia" w:cstheme="minorEastAsia"/>
                <w:color w:val="000000"/>
                <w:kern w:val="0"/>
                <w:sz w:val="24"/>
                <w:szCs w:val="24"/>
                <w:lang w:val="en-US" w:eastAsia="zh-CN" w:bidi="ar"/>
              </w:rPr>
              <w:t>A05010</w:t>
            </w:r>
            <w:r>
              <w:rPr>
                <w:rFonts w:hint="eastAsia" w:asciiTheme="minorEastAsia" w:hAnsi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val="en-US" w:eastAsia="zh-CN" w:bidi="ar"/>
              </w:rPr>
              <w:t>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规格尺寸：1900*700*800/1600mm；一、技术参数：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1.材质∶工作台采用优质304不锈钢材料，主材厚度≥1.0mm。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2.工作台上面两层隔板，隔板耐压能力强，可存放大量的东西而不变形；</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3.工作台中间四个抽屉，抽屉滑道采用三节静音式滑轮，抽拉灵活，无噪音；</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4.工作台下部左右为对开门；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台车A02322700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0.35</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2"/>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规格：750X450X900mm（大号）±20mm；</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二、技术参数：</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1.材质∶304不锈钢材料，主材厚度≥1.0mm。</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2.上下两层台面、台面配有三面护栏，配一个抽屉，抽屉导轨为静音伸缩导轨，下台面配1只3污物桶。</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3.材质采用304不锈钢加厚管材，管壁厚度≥1.0mm。</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4.产品不开焊，焊接表面平滑均匀，美观坚固。台面下方隐藏式加强筋加固，使之台面平整，无噪音。</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5.搭载静音医用脚轮，对角刹车，不脱胶、不粘落发，不生锈，无脱漆，转动轻便。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器械车A02322700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0.36</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规格：750*450*910mm；</w:t>
            </w:r>
          </w:p>
          <w:p>
            <w:pPr>
              <w:keepNext w:val="0"/>
              <w:keepLines w:val="0"/>
              <w:widowControl/>
              <w:numPr>
                <w:ilvl w:val="0"/>
                <w:numId w:val="3"/>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材质∶优质304不锈钢材料，主材厚度≥1.0mm。</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2.上下两层台面、台面配有三面护栏。</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3.材质采用304不锈钢加厚管材，管壁厚度≥1.0mm。整车具有抗冲击、承载强。</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4.满焊与烧焊相结合全新焊接工艺，配合304专用焊丝使产品达到不开焊。</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5.板材厚度1.0mm,台面承重40KG，双层设计，每层下面均焊有支撑管。台面下方隐藏式加强筋加固，使之台面平整。</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6.搭载静音医用脚轮，对角刹车。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篮筐车A02322700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规格660*440*1600mm；</w:t>
            </w:r>
          </w:p>
          <w:p>
            <w:pPr>
              <w:keepNext w:val="0"/>
              <w:keepLines w:val="0"/>
              <w:widowControl/>
              <w:numPr>
                <w:ilvl w:val="0"/>
                <w:numId w:val="4"/>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技术参数：</w:t>
            </w:r>
          </w:p>
          <w:p>
            <w:pPr>
              <w:keepNext w:val="0"/>
              <w:keepLines w:val="0"/>
              <w:widowControl/>
              <w:numPr>
                <w:ilvl w:val="0"/>
                <w:numId w:val="4"/>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1、材质：全304不锈钢材质。</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2、放五只标准篮筐。</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3、脚轮采用优质φ100包罩静音万向轮，坚固耐磨损，对角刹车。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8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物品转运车A02322700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0.6</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规格：1200X530X940mm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1.材质∶优质304不锈钢材料，主材厚度≥1.0mm。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2.开放式设计，上下两层空间充足，盒体上面均有翻边处理，光滑不会划手安全使用，适用于病房、供应室推送物品。</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3.材质采用304不锈钢加厚管材，管壁厚度≥1.0mm。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4.产品不开焊，焊接表面平滑均匀，美观坚固。台面下方隐藏式加强筋加固，使之台面平整，无噪音。</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5.板材厚度1.0mm,台面承重40KG，双层设计，每层下面均焊有支撑管。</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6.搭载静音医用脚轮，对角刹车，不脱胶、不粘落发，不生锈，无脱漆，转动轻便。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护理车A02322700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规格：750*450*910mm；一、技术参数：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1.材质∶优质304不锈钢材料，主材厚度≥1.0mm。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2.上中下三层台面、台面配有三面护栏，配一个抽屉（可选配两个抽屉）抽屉导轨为优质静音伸缩导轨。</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3.材质采用304不锈钢加厚管材，管壁厚度≥1.0mm。</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4.满焊与烧焊相结合全新焊接工艺，配合304专用焊丝使产品达到不开焊，焊接表面平滑均匀。</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板材厚度1.0mm,台面承重40KG，双层设计，每层下面均焊有支撑管。围栏，立柱采用实心不锈钢棒制作结实耐用。采用穿透式焊接结构设计，使整个车体坚固。台面下方隐藏式加强筋加固，使之台面平整，承载能力更强。</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6.搭载的超静音医用脚轮，对角刹车，不脱胶、不粘落发，不生锈，无脱漆，转动轻便。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病理车A02322700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0.26</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0.26</w:t>
            </w:r>
          </w:p>
        </w:tc>
        <w:tc>
          <w:tcPr>
            <w:tcW w:w="4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both"/>
              <w:textAlignment w:val="center"/>
              <w:rPr>
                <w:rStyle w:val="40"/>
                <w:rFonts w:hint="eastAsia" w:ascii="宋体" w:hAnsi="宋体" w:eastAsia="宋体" w:cs="宋体"/>
                <w:sz w:val="24"/>
                <w:szCs w:val="24"/>
                <w:lang w:val="en-US" w:eastAsia="zh-CN" w:bidi="ar"/>
              </w:rPr>
            </w:pPr>
            <w:r>
              <w:rPr>
                <w:rStyle w:val="39"/>
                <w:rFonts w:hint="eastAsia" w:ascii="宋体" w:hAnsi="宋体" w:eastAsia="宋体" w:cs="宋体"/>
                <w:sz w:val="24"/>
                <w:szCs w:val="24"/>
                <w:lang w:val="en-US" w:eastAsia="zh-CN" w:bidi="ar"/>
              </w:rPr>
              <w:t>规格：</w:t>
            </w:r>
            <w:r>
              <w:rPr>
                <w:rStyle w:val="40"/>
                <w:rFonts w:hint="eastAsia" w:ascii="宋体" w:hAnsi="宋体" w:eastAsia="宋体" w:cs="宋体"/>
                <w:sz w:val="24"/>
                <w:szCs w:val="24"/>
                <w:lang w:val="en-US" w:eastAsia="zh-CN" w:bidi="ar"/>
              </w:rPr>
              <w:t>570*400*825mm；1.材质∶优质304不锈钢材料，主材厚度≥1.0mm。</w:t>
            </w:r>
          </w:p>
          <w:p>
            <w:pPr>
              <w:keepNext w:val="0"/>
              <w:keepLines w:val="0"/>
              <w:widowControl/>
              <w:suppressLineNumbers w:val="0"/>
              <w:spacing w:line="360" w:lineRule="auto"/>
              <w:jc w:val="both"/>
              <w:textAlignment w:val="center"/>
              <w:rPr>
                <w:rStyle w:val="40"/>
                <w:rFonts w:hint="eastAsia" w:ascii="宋体" w:hAnsi="宋体" w:eastAsia="宋体" w:cs="宋体"/>
                <w:sz w:val="24"/>
                <w:szCs w:val="24"/>
                <w:lang w:val="en-US" w:eastAsia="zh-CN" w:bidi="ar"/>
              </w:rPr>
            </w:pPr>
            <w:r>
              <w:rPr>
                <w:rStyle w:val="40"/>
                <w:rFonts w:hint="eastAsia" w:ascii="宋体" w:hAnsi="宋体" w:eastAsia="宋体" w:cs="宋体"/>
                <w:sz w:val="24"/>
                <w:szCs w:val="24"/>
                <w:lang w:val="en-US" w:eastAsia="zh-CN" w:bidi="ar"/>
              </w:rPr>
              <w:t>2.上盖打开，空间充足，下部具备对开门设计，具备锁。</w:t>
            </w:r>
          </w:p>
          <w:p>
            <w:pPr>
              <w:keepNext w:val="0"/>
              <w:keepLines w:val="0"/>
              <w:widowControl/>
              <w:suppressLineNumbers w:val="0"/>
              <w:spacing w:line="360" w:lineRule="auto"/>
              <w:jc w:val="both"/>
              <w:textAlignment w:val="center"/>
              <w:rPr>
                <w:rStyle w:val="40"/>
                <w:rFonts w:hint="eastAsia" w:ascii="宋体" w:hAnsi="宋体" w:eastAsia="宋体" w:cs="宋体"/>
                <w:sz w:val="24"/>
                <w:szCs w:val="24"/>
                <w:lang w:val="en-US" w:eastAsia="zh-CN" w:bidi="ar"/>
              </w:rPr>
            </w:pPr>
            <w:r>
              <w:rPr>
                <w:rStyle w:val="40"/>
                <w:rFonts w:hint="eastAsia" w:ascii="宋体" w:hAnsi="宋体" w:eastAsia="宋体" w:cs="宋体"/>
                <w:sz w:val="24"/>
                <w:szCs w:val="24"/>
                <w:lang w:val="en-US" w:eastAsia="zh-CN" w:bidi="ar"/>
              </w:rPr>
              <w:t>3.材质采用304不锈钢加厚管材，管壁厚度≥1.0mm。</w:t>
            </w:r>
          </w:p>
          <w:p>
            <w:pPr>
              <w:keepNext w:val="0"/>
              <w:keepLines w:val="0"/>
              <w:widowControl/>
              <w:suppressLineNumbers w:val="0"/>
              <w:spacing w:line="360" w:lineRule="auto"/>
              <w:jc w:val="both"/>
              <w:textAlignment w:val="center"/>
              <w:rPr>
                <w:rStyle w:val="40"/>
                <w:rFonts w:hint="eastAsia" w:ascii="宋体" w:hAnsi="宋体" w:eastAsia="宋体" w:cs="宋体"/>
                <w:sz w:val="24"/>
                <w:szCs w:val="24"/>
                <w:lang w:val="en-US" w:eastAsia="zh-CN" w:bidi="ar"/>
              </w:rPr>
            </w:pPr>
            <w:r>
              <w:rPr>
                <w:rStyle w:val="40"/>
                <w:rFonts w:hint="eastAsia" w:ascii="宋体" w:hAnsi="宋体" w:eastAsia="宋体" w:cs="宋体"/>
                <w:sz w:val="24"/>
                <w:szCs w:val="24"/>
                <w:lang w:val="en-US" w:eastAsia="zh-CN" w:bidi="ar"/>
              </w:rPr>
              <w:t>4.满焊与烧焊相结合全新焊接工艺，配合304专用焊丝。</w:t>
            </w:r>
          </w:p>
          <w:p>
            <w:pPr>
              <w:keepNext w:val="0"/>
              <w:keepLines w:val="0"/>
              <w:widowControl/>
              <w:suppressLineNumbers w:val="0"/>
              <w:spacing w:line="360" w:lineRule="auto"/>
              <w:jc w:val="both"/>
              <w:textAlignment w:val="center"/>
              <w:rPr>
                <w:rStyle w:val="40"/>
                <w:rFonts w:hint="eastAsia" w:ascii="宋体" w:hAnsi="宋体" w:eastAsia="宋体" w:cs="宋体"/>
                <w:sz w:val="24"/>
                <w:szCs w:val="24"/>
                <w:lang w:val="en-US" w:eastAsia="zh-CN" w:bidi="ar"/>
              </w:rPr>
            </w:pPr>
            <w:r>
              <w:rPr>
                <w:rStyle w:val="40"/>
                <w:rFonts w:hint="eastAsia" w:ascii="宋体" w:hAnsi="宋体" w:eastAsia="宋体" w:cs="宋体"/>
                <w:sz w:val="24"/>
                <w:szCs w:val="24"/>
                <w:lang w:val="en-US" w:eastAsia="zh-CN" w:bidi="ar"/>
              </w:rPr>
              <w:t>5.板材厚度1.0mm,台面承重40KG，双层设计，每层下面均焊有支撑管。</w:t>
            </w:r>
          </w:p>
          <w:p>
            <w:pPr>
              <w:keepNext w:val="0"/>
              <w:keepLines w:val="0"/>
              <w:widowControl/>
              <w:suppressLineNumbers w:val="0"/>
              <w:spacing w:line="360" w:lineRule="auto"/>
              <w:jc w:val="both"/>
              <w:textAlignment w:val="center"/>
              <w:rPr>
                <w:rFonts w:hint="eastAsia" w:ascii="宋体" w:hAnsi="宋体" w:eastAsia="宋体" w:cs="宋体"/>
                <w:b/>
                <w:bCs/>
                <w:i w:val="0"/>
                <w:iCs w:val="0"/>
                <w:color w:val="000000"/>
                <w:sz w:val="24"/>
                <w:szCs w:val="24"/>
                <w:u w:val="none"/>
              </w:rPr>
            </w:pPr>
            <w:r>
              <w:rPr>
                <w:rStyle w:val="40"/>
                <w:rFonts w:hint="eastAsia" w:ascii="宋体" w:hAnsi="宋体" w:eastAsia="宋体" w:cs="宋体"/>
                <w:sz w:val="24"/>
                <w:szCs w:val="24"/>
                <w:lang w:val="en-US" w:eastAsia="zh-CN" w:bidi="ar"/>
              </w:rPr>
              <w:t>6.搭载的超静音医用脚轮。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不锈钢踏凳大A05010399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0.035</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1、尺寸：47*22.5*69.5cm</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2、骨架采用优质锈钢2.0厚度304材质制成，外形美观，坚固耐用，不生锈。</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3、凳面采用优质304不锈钢材料制成。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不锈钢踏凳中A05010399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0.04</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1、尺寸：47*22.5*46cm</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2、骨架采用优质锈钢2.0厚度304材质制成，外形美观，坚固耐用，不生锈。</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3、凳面采用优质304不锈钢材料制成。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不锈钢踏凳小A05010399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0.032</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1、尺寸：47*22.5*23cm</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2、骨架采用优质锈钢2.0厚度304材质制成，外形美观，坚固耐用，不生锈。</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3、凳面采用优质304不锈钢材料制成。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膀胱镜室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rPr>
              <w:t>无菌柜（器械橱）</w:t>
            </w:r>
            <w:r>
              <w:rPr>
                <w:rFonts w:hint="eastAsia" w:asciiTheme="minorEastAsia" w:hAnsiTheme="minorEastAsia" w:eastAsiaTheme="minorEastAsia" w:cstheme="minorEastAsia"/>
                <w:color w:val="000000"/>
                <w:kern w:val="0"/>
                <w:sz w:val="24"/>
                <w:szCs w:val="24"/>
                <w:lang w:val="en-US" w:eastAsia="zh-CN" w:bidi="ar"/>
              </w:rPr>
              <w:t>A05010599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规格尺寸：900×400×1750mm；技术参数：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1.材质∶柜体采用优质304不锈钢材料，主材厚度≥1.0mm。</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2.柜体上层透明通体对开门设计，方便拿取器械物品。加厚三岔口胶条，稳固保护3c质量安全认证钢化玻璃安全，内有三层搁板，高低可调。</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3.柜体下层不锈钢封闭对开门设计，内有一层搁板，高低可调。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285"/>
              </w:tabs>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介入室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导管橱</w:t>
            </w:r>
            <w:r>
              <w:rPr>
                <w:rFonts w:hint="eastAsia" w:asciiTheme="minorEastAsia" w:hAnsiTheme="minorEastAsia" w:eastAsiaTheme="minorEastAsia" w:cstheme="minorEastAsia"/>
                <w:color w:val="000000"/>
                <w:kern w:val="0"/>
                <w:sz w:val="24"/>
                <w:szCs w:val="24"/>
                <w:lang w:val="en-US" w:eastAsia="zh-CN" w:bidi="ar"/>
              </w:rPr>
              <w:t>A0501</w:t>
            </w:r>
            <w:r>
              <w:rPr>
                <w:rFonts w:hint="eastAsia" w:asciiTheme="minorEastAsia" w:hAnsiTheme="minorEastAsia" w:cstheme="minorEastAsia"/>
                <w:color w:val="000000"/>
                <w:kern w:val="0"/>
                <w:sz w:val="24"/>
                <w:szCs w:val="24"/>
                <w:lang w:val="en-US" w:eastAsia="zh-CN" w:bidi="ar"/>
              </w:rPr>
              <w:t>0599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0.8</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4.8</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规格尺寸：1000×470×1850mm；一、技术参数：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1.材质∶柜体采用优质304不锈钢材料，主材厚度≥1.0mm。</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2.透明通体对开门设计，加厚三岔口胶条，稳固保护3c质量安全认证钢化玻璃安全，内有挂钩。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285"/>
              </w:tabs>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介入室</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不锈钢踏凳中A05010399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0.04</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0.12</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1、尺寸：47*22.5*46cm</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2、骨架采用优质锈钢2.0厚度304材质制成，外形美观，坚固耐用，不生锈。</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3、凳面采用优质304不锈钢材料制成。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内镜诊疗中心</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器械柜</w:t>
            </w:r>
            <w:r>
              <w:rPr>
                <w:rFonts w:hint="eastAsia" w:asciiTheme="minorEastAsia" w:hAnsiTheme="minorEastAsia" w:eastAsiaTheme="minorEastAsia" w:cstheme="minorEastAsia"/>
                <w:color w:val="000000"/>
                <w:kern w:val="0"/>
                <w:sz w:val="24"/>
                <w:szCs w:val="24"/>
                <w:lang w:val="en-US" w:eastAsia="zh-CN" w:bidi="ar"/>
              </w:rPr>
              <w:t>A05010599</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规格尺寸：900×400×1750mm；一、技术参数：</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1.材质∶柜体采用优质304不锈钢材料，主材厚度≥1.0mm。</w:t>
            </w:r>
          </w:p>
          <w:p>
            <w:pPr>
              <w:keepNext w:val="0"/>
              <w:keepLines w:val="0"/>
              <w:widowControl/>
              <w:suppressLineNumbers w:val="0"/>
              <w:spacing w:line="360" w:lineRule="auto"/>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2.透明通体对开门设计，加厚三岔口胶条，稳固保护3c质量安全认证钢化玻璃安全，内有四层搁板，高低可调。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药学部</w:t>
            </w:r>
          </w:p>
        </w:tc>
        <w:tc>
          <w:tcPr>
            <w:tcW w:w="1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不锈钢治疗车A02322700</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0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0.433</w:t>
            </w:r>
          </w:p>
        </w:tc>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4.33</w:t>
            </w:r>
          </w:p>
        </w:tc>
        <w:tc>
          <w:tcPr>
            <w:tcW w:w="432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spacing w:line="360" w:lineRule="auto"/>
              <w:ind w:firstLine="330" w:firstLineChars="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规格尺寸：60cm×40cm×80cm；</w:t>
            </w:r>
          </w:p>
          <w:p>
            <w:pPr>
              <w:keepNext w:val="0"/>
              <w:keepLines w:val="0"/>
              <w:widowControl/>
              <w:suppressLineNumbers w:val="0"/>
              <w:spacing w:line="360" w:lineRule="auto"/>
              <w:ind w:firstLine="330" w:firstLineChars="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（1）柜体：采用优质304不锈钢板，柜体厚度为0.8mm，易消毒永不生锈；</w:t>
            </w:r>
          </w:p>
          <w:p>
            <w:pPr>
              <w:keepNext w:val="0"/>
              <w:keepLines w:val="0"/>
              <w:widowControl/>
              <w:suppressLineNumbers w:val="0"/>
              <w:spacing w:line="360" w:lineRule="auto"/>
              <w:ind w:firstLine="330" w:firstLineChars="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（2）工艺：所有工件经模具冲压折弯焊接而成，焊接部分打磨、抛光处理平滑过渡，焊接口表面光滑；</w:t>
            </w:r>
          </w:p>
          <w:p>
            <w:pPr>
              <w:keepNext w:val="0"/>
              <w:keepLines w:val="0"/>
              <w:widowControl/>
              <w:suppressLineNumbers w:val="0"/>
              <w:spacing w:line="360" w:lineRule="auto"/>
              <w:ind w:firstLine="330" w:firstLineChars="0"/>
              <w:jc w:val="left"/>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（3）长60厘米、宽40厘米，高80厘米（带轮子）（4）优质五金配件</w:t>
            </w:r>
          </w:p>
        </w:tc>
      </w:tr>
    </w:tbl>
    <w:p>
      <w:pPr>
        <w:overflowPunct w:val="0"/>
        <w:spacing w:line="320" w:lineRule="exact"/>
        <w:rPr>
          <w:rFonts w:cs="Times New Roman" w:asciiTheme="minorEastAsia" w:hAnsiTheme="minorEastAsia"/>
          <w:szCs w:val="21"/>
        </w:rPr>
      </w:pPr>
    </w:p>
    <w:p>
      <w:pPr>
        <w:overflowPunct w:val="0"/>
        <w:spacing w:line="320" w:lineRule="exact"/>
        <w:ind w:firstLine="420" w:firstLineChars="200"/>
        <w:rPr>
          <w:rFonts w:cs="Times New Roman" w:asciiTheme="minorEastAsia" w:hAnsiTheme="minorEastAsia"/>
          <w:szCs w:val="21"/>
        </w:rPr>
      </w:pPr>
    </w:p>
    <w:p>
      <w:pPr>
        <w:overflowPunct w:val="0"/>
        <w:spacing w:line="32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三、需满足的政府采购政策</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1依据财政部、工业和信息化部《政府采购促进中小企业发展管理办法》（财库〔2020〕46号）规定，本项目面向中小企业预留情况：</w:t>
      </w:r>
    </w:p>
    <w:p>
      <w:pPr>
        <w:snapToGrid w:val="0"/>
        <w:spacing w:line="320" w:lineRule="exact"/>
        <w:ind w:firstLine="480" w:firstLineChars="200"/>
        <w:rPr>
          <w:rFonts w:ascii="仿宋" w:hAnsi="仿宋" w:eastAsia="仿宋"/>
          <w:color w:val="auto"/>
          <w:sz w:val="24"/>
          <w:szCs w:val="24"/>
        </w:rPr>
      </w:pPr>
      <w:r>
        <w:rPr>
          <w:rFonts w:hint="eastAsia" w:ascii="仿宋" w:hAnsi="仿宋" w:eastAsia="仿宋"/>
          <w:sz w:val="24"/>
          <w:szCs w:val="24"/>
        </w:rPr>
        <w:t>■本包为面向中小企业预留份额的采购包，专门面向中小企业采购，</w:t>
      </w:r>
      <w:r>
        <w:rPr>
          <w:rFonts w:hint="eastAsia" w:ascii="仿宋" w:hAnsi="仿宋" w:eastAsia="仿宋"/>
          <w:color w:val="auto"/>
          <w:sz w:val="24"/>
          <w:szCs w:val="24"/>
        </w:rPr>
        <w:t>小微企业不享受价格折扣优惠。</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□本包为面向中小企业预留份额的采购包，要求供应商以联合体形式参加采购活动，且联合体中中小企业承担的部分达到一定比例，小微企业不享受价格折扣优惠。</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□本包为面向中小企业预留份额的采购包，要求获得采购合同的供应商将采购项目中的一定比例分包给一家或者多家中小企业，小微企业不享受价格折扣优惠。</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□本包为非面向中小企业预留份额的采购包。</w:t>
      </w:r>
    </w:p>
    <w:p>
      <w:pPr>
        <w:snapToGrid w:val="0"/>
        <w:spacing w:line="320" w:lineRule="exact"/>
        <w:ind w:firstLine="480" w:firstLineChars="200"/>
        <w:rPr>
          <w:rFonts w:ascii="仿宋" w:hAnsi="仿宋" w:eastAsia="仿宋"/>
          <w:sz w:val="24"/>
          <w:szCs w:val="24"/>
          <w:u w:val="single"/>
        </w:rPr>
      </w:pPr>
      <w:r>
        <w:rPr>
          <w:rFonts w:hint="eastAsia" w:ascii="仿宋" w:hAnsi="仿宋" w:eastAsia="仿宋"/>
          <w:sz w:val="24"/>
          <w:szCs w:val="24"/>
        </w:rPr>
        <w:t>本项目采购标的对应的中小企业划分标准所属行业：</w:t>
      </w:r>
      <w:r>
        <w:rPr>
          <w:rFonts w:hint="eastAsia" w:ascii="仿宋" w:hAnsi="仿宋" w:eastAsia="仿宋"/>
          <w:sz w:val="24"/>
          <w:szCs w:val="24"/>
          <w:u w:val="single"/>
        </w:rPr>
        <w:t>工业</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2对于非专门面向中小企业或小型、微型企业采购的项目，给予价格扣除。</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2.1.对小型和微型企业提供小型和微型企业制造的货物，给予小型和微型企业（包括相互之间组成的联合体）产品10%的价格扣除，用扣除后的价格参与评审。</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2.2.大中型企业和其他自然人、法人或者其他组织与小型、微型企业组成联合体投标，联合协议中约定，小型、微型企业的协议合同金额占到联合体协议合同金额30%以上的，可给予联合体3%的价格扣除，用扣除后的价格参与评审。</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2.3残疾人福利性单位和其他单位组成联合体投标，联合协议中约定，残疾人福利性单位的协议合同金额占到联合体协议合同金额30%以上的，同样按以上规定给予价格扣除。</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3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4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5.按照财政部等四部委联合印发《关于调整优化节能产品、环境标志产品政府采购执行机制的通知》〔2019〕9号、财政部发展改革委《关于印发节能产品政府采购品目清单的通知》财库〔2019〕19号、财政部生态环境部《关于印发环境标志产品政府采购品目清单的通知》财库〔2019〕18号的规定，属于节能、环境标志产品的，享受政府采购优先政策：</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5.1采用最低评标价法评标的项目，在评审时对节能、环境标志产品分别给予一定幅度的价格扣除，用扣除后的价格参与评审。</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5.2采用综合评分法评标的项目，对节能、环境标志产品分别给予一定幅度的加分或价格折扣。</w:t>
      </w:r>
    </w:p>
    <w:p>
      <w:pPr>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5.3投标人必须提供经市场监管总局公布的认证机构出具的有效期内的节能产品、环境标志产品认证证书原件的电子文档。</w:t>
      </w:r>
    </w:p>
    <w:p>
      <w:pPr>
        <w:pStyle w:val="11"/>
      </w:pPr>
    </w:p>
    <w:p>
      <w:pPr>
        <w:snapToGrid w:val="0"/>
        <w:spacing w:line="320" w:lineRule="exact"/>
        <w:rPr>
          <w:rFonts w:ascii="黑体" w:hAnsi="黑体" w:eastAsia="黑体"/>
          <w:sz w:val="32"/>
          <w:szCs w:val="32"/>
        </w:rPr>
      </w:pPr>
      <w:r>
        <w:rPr>
          <w:rFonts w:hint="eastAsia" w:ascii="黑体" w:hAnsi="黑体" w:eastAsia="黑体"/>
          <w:b/>
          <w:sz w:val="32"/>
          <w:szCs w:val="32"/>
        </w:rPr>
        <w:t xml:space="preserve">  </w:t>
      </w:r>
      <w:r>
        <w:rPr>
          <w:rFonts w:hint="eastAsia" w:ascii="黑体" w:hAnsi="黑体" w:eastAsia="黑体"/>
          <w:sz w:val="32"/>
          <w:szCs w:val="32"/>
        </w:rPr>
        <w:t xml:space="preserve"> 四、商务条件</w:t>
      </w:r>
    </w:p>
    <w:p>
      <w:pPr>
        <w:spacing w:line="320" w:lineRule="exact"/>
        <w:ind w:firstLine="482" w:firstLineChars="200"/>
        <w:rPr>
          <w:rFonts w:ascii="仿宋" w:hAnsi="仿宋" w:eastAsia="仿宋"/>
          <w:b/>
          <w:sz w:val="24"/>
          <w:szCs w:val="24"/>
        </w:rPr>
      </w:pPr>
      <w:r>
        <w:rPr>
          <w:rFonts w:hint="eastAsia" w:ascii="仿宋" w:hAnsi="仿宋" w:eastAsia="仿宋"/>
          <w:b/>
          <w:sz w:val="24"/>
          <w:szCs w:val="24"/>
        </w:rPr>
        <w:t>1.交货期</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自合同签订之日起30日内完成合同全部货物80%的安装调试完毕，40日内全部完成。</w:t>
      </w:r>
    </w:p>
    <w:p>
      <w:pPr>
        <w:spacing w:line="320" w:lineRule="exact"/>
        <w:ind w:firstLine="482" w:firstLineChars="200"/>
        <w:rPr>
          <w:rFonts w:ascii="仿宋" w:hAnsi="仿宋" w:eastAsia="仿宋"/>
          <w:b/>
          <w:sz w:val="24"/>
          <w:szCs w:val="24"/>
        </w:rPr>
      </w:pPr>
      <w:r>
        <w:rPr>
          <w:rFonts w:hint="eastAsia" w:ascii="仿宋" w:hAnsi="仿宋" w:eastAsia="仿宋"/>
          <w:b/>
          <w:sz w:val="24"/>
          <w:szCs w:val="24"/>
        </w:rPr>
        <w:t>2.交货地点</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青岛山大齐鲁医院院内（市北区合肥路758号）。</w:t>
      </w:r>
    </w:p>
    <w:p>
      <w:pPr>
        <w:spacing w:line="320" w:lineRule="exact"/>
        <w:ind w:firstLine="482" w:firstLineChars="200"/>
        <w:rPr>
          <w:rFonts w:ascii="仿宋" w:hAnsi="仿宋" w:eastAsia="仿宋"/>
          <w:b/>
          <w:sz w:val="24"/>
          <w:szCs w:val="24"/>
        </w:rPr>
      </w:pPr>
      <w:r>
        <w:rPr>
          <w:rFonts w:hint="eastAsia" w:ascii="仿宋" w:hAnsi="仿宋" w:eastAsia="仿宋"/>
          <w:b/>
          <w:sz w:val="24"/>
          <w:szCs w:val="24"/>
        </w:rPr>
        <w:t>3.付款方式</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1期：预付款：</w:t>
      </w:r>
      <w:r>
        <w:rPr>
          <w:rFonts w:hint="eastAsia" w:ascii="仿宋" w:hAnsi="仿宋" w:eastAsia="仿宋"/>
          <w:sz w:val="24"/>
          <w:szCs w:val="24"/>
          <w:highlight w:val="none"/>
        </w:rPr>
        <w:t>合同签订</w:t>
      </w:r>
      <w:r>
        <w:rPr>
          <w:rFonts w:hint="eastAsia" w:ascii="仿宋" w:hAnsi="仿宋" w:eastAsia="仿宋"/>
          <w:sz w:val="24"/>
          <w:szCs w:val="24"/>
          <w:highlight w:val="none"/>
          <w:lang w:val="en-US" w:eastAsia="zh-CN"/>
        </w:rPr>
        <w:t>且</w:t>
      </w:r>
      <w:r>
        <w:rPr>
          <w:rFonts w:hint="eastAsia" w:ascii="仿宋" w:hAnsi="仿宋" w:eastAsia="仿宋"/>
          <w:sz w:val="24"/>
          <w:szCs w:val="24"/>
          <w:highlight w:val="none"/>
        </w:rPr>
        <w:t>收到</w:t>
      </w:r>
      <w:r>
        <w:rPr>
          <w:rFonts w:hint="eastAsia" w:ascii="仿宋" w:hAnsi="仿宋" w:eastAsia="仿宋"/>
          <w:sz w:val="24"/>
          <w:szCs w:val="24"/>
          <w:highlight w:val="none"/>
          <w:lang w:val="en-US" w:eastAsia="zh-CN"/>
        </w:rPr>
        <w:t>合格</w:t>
      </w:r>
      <w:r>
        <w:rPr>
          <w:rFonts w:hint="eastAsia" w:ascii="仿宋" w:hAnsi="仿宋" w:eastAsia="仿宋"/>
          <w:sz w:val="24"/>
          <w:szCs w:val="24"/>
          <w:highlight w:val="none"/>
        </w:rPr>
        <w:t>发票</w:t>
      </w:r>
      <w:r>
        <w:rPr>
          <w:rFonts w:hint="eastAsia" w:ascii="仿宋" w:hAnsi="仿宋" w:eastAsia="仿宋"/>
          <w:sz w:val="24"/>
          <w:szCs w:val="24"/>
          <w:highlight w:val="none"/>
          <w:lang w:eastAsia="zh-CN"/>
        </w:rPr>
        <w:t>，</w:t>
      </w:r>
      <w:r>
        <w:rPr>
          <w:rFonts w:hint="eastAsia" w:ascii="仿宋" w:hAnsi="仿宋" w:eastAsia="仿宋"/>
          <w:sz w:val="24"/>
          <w:szCs w:val="24"/>
          <w:highlight w:val="none"/>
        </w:rPr>
        <w:t>符合供货条件的，</w:t>
      </w:r>
      <w:r>
        <w:rPr>
          <w:rFonts w:hint="eastAsia" w:ascii="仿宋" w:hAnsi="仿宋" w:eastAsia="仿宋"/>
          <w:sz w:val="24"/>
          <w:szCs w:val="24"/>
        </w:rPr>
        <w:t>支付合同款的30%；</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2期：货物安装、调试完毕初步验收合格后，采购人向中标人支付合同款的70%；</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上述费用未计算因中标人违反合同约定产生的扣减金额，实际支付的费用为相应阶段费用减去扣减金额。收款方、出具发票方、合同乙方均必须与中标供应商名称一致。</w:t>
      </w:r>
    </w:p>
    <w:p>
      <w:pPr>
        <w:pStyle w:val="20"/>
        <w:overflowPunct w:val="0"/>
        <w:snapToGrid w:val="0"/>
        <w:spacing w:line="320" w:lineRule="exact"/>
        <w:ind w:firstLine="482"/>
        <w:rPr>
          <w:rFonts w:ascii="仿宋" w:hAnsi="仿宋" w:eastAsia="仿宋" w:cs="仿宋"/>
          <w:b/>
          <w:sz w:val="24"/>
          <w:szCs w:val="24"/>
          <w:lang w:val="zh-CN"/>
        </w:rPr>
      </w:pPr>
      <w:r>
        <w:rPr>
          <w:rFonts w:hint="eastAsia" w:ascii="仿宋" w:hAnsi="仿宋" w:eastAsia="仿宋" w:cs="仿宋"/>
          <w:b/>
          <w:sz w:val="24"/>
          <w:szCs w:val="24"/>
          <w:lang w:val="zh-CN"/>
        </w:rPr>
        <w:t>４.验收</w:t>
      </w:r>
    </w:p>
    <w:p>
      <w:pPr>
        <w:pStyle w:val="20"/>
        <w:overflowPunct w:val="0"/>
        <w:snapToGrid w:val="0"/>
        <w:spacing w:line="320" w:lineRule="exact"/>
        <w:ind w:firstLine="480"/>
        <w:rPr>
          <w:rFonts w:ascii="仿宋" w:hAnsi="仿宋" w:eastAsia="仿宋"/>
          <w:sz w:val="24"/>
          <w:szCs w:val="24"/>
        </w:rPr>
      </w:pPr>
      <w:r>
        <w:rPr>
          <w:rFonts w:hint="eastAsia" w:ascii="仿宋" w:hAnsi="仿宋" w:eastAsia="仿宋"/>
          <w:sz w:val="24"/>
          <w:szCs w:val="24"/>
        </w:rPr>
        <w:t>（1）产品均为全新合格产品，且有合法透明的来源渠道，物料无污染、无侵权行为、表面无划损、无任何缺陷隐患，可依常规安全使用。</w:t>
      </w:r>
    </w:p>
    <w:p>
      <w:pPr>
        <w:pStyle w:val="20"/>
        <w:overflowPunct w:val="0"/>
        <w:snapToGrid w:val="0"/>
        <w:spacing w:line="320" w:lineRule="exact"/>
        <w:ind w:firstLine="480"/>
        <w:rPr>
          <w:rFonts w:ascii="仿宋" w:hAnsi="仿宋" w:eastAsia="仿宋"/>
          <w:sz w:val="24"/>
          <w:szCs w:val="24"/>
        </w:rPr>
      </w:pPr>
      <w:r>
        <w:rPr>
          <w:rFonts w:hint="eastAsia" w:ascii="仿宋" w:hAnsi="仿宋" w:eastAsia="仿宋"/>
          <w:sz w:val="24"/>
          <w:szCs w:val="24"/>
        </w:rPr>
        <w:t>（2）项目验收依次序对照执行标准为：①符合中华人民共和国国家和履约地相关安全质量标准、行业技术规范标准、环保节能标准；②符合采购文件和投标承诺中各方共同认可的合理最佳配置、参数规格及各项要求；③符合产品来源国官方颁布的最新标准；④双方约定的其他验收标准。</w:t>
      </w:r>
    </w:p>
    <w:p>
      <w:pPr>
        <w:pStyle w:val="20"/>
        <w:overflowPunct w:val="0"/>
        <w:snapToGrid w:val="0"/>
        <w:spacing w:line="320" w:lineRule="exact"/>
        <w:ind w:firstLine="480"/>
        <w:rPr>
          <w:rFonts w:ascii="仿宋" w:hAnsi="仿宋" w:eastAsia="仿宋"/>
          <w:sz w:val="24"/>
          <w:szCs w:val="24"/>
        </w:rPr>
      </w:pPr>
      <w:r>
        <w:rPr>
          <w:rFonts w:hint="eastAsia" w:ascii="仿宋" w:hAnsi="仿宋" w:eastAsia="仿宋"/>
          <w:sz w:val="24"/>
          <w:szCs w:val="24"/>
        </w:rPr>
        <w:t xml:space="preserve">（3）符合国家、地方和行业相关标准，符合招标文件要求和投标响应承诺。 </w:t>
      </w:r>
    </w:p>
    <w:p>
      <w:pPr>
        <w:pStyle w:val="20"/>
        <w:overflowPunct w:val="0"/>
        <w:snapToGrid w:val="0"/>
        <w:spacing w:line="320" w:lineRule="exact"/>
        <w:ind w:firstLine="480"/>
        <w:rPr>
          <w:rFonts w:ascii="仿宋" w:hAnsi="仿宋" w:eastAsia="仿宋"/>
          <w:sz w:val="24"/>
          <w:szCs w:val="24"/>
        </w:rPr>
      </w:pPr>
      <w:r>
        <w:rPr>
          <w:rFonts w:hint="eastAsia" w:ascii="仿宋" w:hAnsi="仿宋" w:eastAsia="仿宋"/>
          <w:sz w:val="24"/>
          <w:szCs w:val="24"/>
        </w:rPr>
        <w:t>（4）国内制造的产品必须具备出厂合格证，完全符合合同规定的质量、规格和性能的要求，中标人提供的货物在正确安装、正确使用和保养条件下，在其正常的使用寿命期内应具有正常的性能。</w:t>
      </w:r>
    </w:p>
    <w:p>
      <w:pPr>
        <w:pStyle w:val="20"/>
        <w:overflowPunct w:val="0"/>
        <w:snapToGrid w:val="0"/>
        <w:spacing w:line="320" w:lineRule="exact"/>
        <w:ind w:firstLine="480"/>
        <w:rPr>
          <w:rFonts w:ascii="仿宋" w:hAnsi="仿宋" w:eastAsia="仿宋"/>
          <w:sz w:val="24"/>
          <w:szCs w:val="24"/>
        </w:rPr>
      </w:pPr>
      <w:r>
        <w:rPr>
          <w:rFonts w:hint="eastAsia" w:ascii="仿宋" w:hAnsi="仿宋" w:eastAsia="仿宋"/>
          <w:sz w:val="24"/>
          <w:szCs w:val="24"/>
        </w:rPr>
        <w:t>（5）中标人应将货物的有关单证资料及配备件、随机工具 等交付给采购人，使用操作及安全须知等重要资料应附有中文说明。</w:t>
      </w:r>
    </w:p>
    <w:p>
      <w:pPr>
        <w:pStyle w:val="20"/>
        <w:overflowPunct w:val="0"/>
        <w:snapToGrid w:val="0"/>
        <w:spacing w:line="320" w:lineRule="exact"/>
        <w:ind w:firstLine="480"/>
        <w:rPr>
          <w:rFonts w:ascii="仿宋" w:hAnsi="仿宋" w:eastAsia="仿宋"/>
          <w:sz w:val="24"/>
          <w:szCs w:val="24"/>
        </w:rPr>
      </w:pPr>
      <w:r>
        <w:rPr>
          <w:rFonts w:hint="eastAsia" w:ascii="仿宋" w:hAnsi="仿宋" w:eastAsia="仿宋"/>
          <w:sz w:val="24"/>
          <w:szCs w:val="24"/>
        </w:rPr>
        <w:t xml:space="preserve">（6）采购人按中标人提供的供货清单检验产品合格证、使用说明书和其它的技术资料，检查产品及附件是否完整无损，并应对设备的质量、规格、性能、数量进行详细和全面的检查，如有损坏、缺件等情况，中标人自行负责。 </w:t>
      </w:r>
    </w:p>
    <w:p>
      <w:pPr>
        <w:pStyle w:val="20"/>
        <w:overflowPunct w:val="0"/>
        <w:snapToGrid w:val="0"/>
        <w:spacing w:line="320" w:lineRule="exact"/>
        <w:ind w:firstLine="480"/>
        <w:rPr>
          <w:rFonts w:ascii="仿宋" w:hAnsi="仿宋" w:eastAsia="仿宋"/>
          <w:sz w:val="24"/>
          <w:szCs w:val="24"/>
        </w:rPr>
      </w:pPr>
      <w:r>
        <w:rPr>
          <w:rFonts w:hint="eastAsia" w:ascii="仿宋" w:hAnsi="仿宋" w:eastAsia="仿宋"/>
          <w:sz w:val="24"/>
          <w:szCs w:val="24"/>
        </w:rPr>
        <w:t xml:space="preserve">（7）验收由中标人、采购人依国家有关标准、合同及有关附件要求进行。项目通过安装、调试、验收后，可达到采购人正常使用状态。验收完毕由采购人、中标人在验收报告上签名确认。 </w:t>
      </w:r>
    </w:p>
    <w:p>
      <w:pPr>
        <w:pStyle w:val="20"/>
        <w:overflowPunct w:val="0"/>
        <w:snapToGrid w:val="0"/>
        <w:spacing w:line="320" w:lineRule="exact"/>
        <w:ind w:firstLine="480"/>
        <w:rPr>
          <w:rFonts w:ascii="仿宋" w:hAnsi="仿宋" w:eastAsia="仿宋"/>
          <w:sz w:val="24"/>
          <w:szCs w:val="24"/>
        </w:rPr>
      </w:pPr>
      <w:r>
        <w:rPr>
          <w:rFonts w:hint="eastAsia" w:ascii="仿宋" w:hAnsi="仿宋" w:eastAsia="仿宋"/>
          <w:sz w:val="24"/>
          <w:szCs w:val="24"/>
        </w:rPr>
        <w:t>（8）</w:t>
      </w:r>
      <w:r>
        <w:rPr>
          <w:rFonts w:hint="eastAsia" w:ascii="仿宋" w:hAnsi="仿宋" w:eastAsia="仿宋"/>
          <w:b/>
          <w:sz w:val="24"/>
          <w:szCs w:val="24"/>
        </w:rPr>
        <w:t>中标人须为验收提供必需的相关条件及一切费用。</w:t>
      </w:r>
    </w:p>
    <w:p>
      <w:pPr>
        <w:pStyle w:val="20"/>
        <w:overflowPunct w:val="0"/>
        <w:snapToGrid w:val="0"/>
        <w:spacing w:line="320" w:lineRule="exact"/>
        <w:ind w:firstLine="480"/>
        <w:rPr>
          <w:rFonts w:ascii="仿宋" w:hAnsi="仿宋" w:eastAsia="仿宋"/>
          <w:b/>
          <w:sz w:val="24"/>
          <w:szCs w:val="24"/>
        </w:rPr>
      </w:pPr>
      <w:r>
        <w:rPr>
          <w:rFonts w:hint="eastAsia" w:ascii="仿宋" w:hAnsi="仿宋" w:eastAsia="仿宋"/>
          <w:sz w:val="24"/>
          <w:szCs w:val="24"/>
        </w:rPr>
        <w:t>（9）</w:t>
      </w:r>
      <w:r>
        <w:rPr>
          <w:rFonts w:hint="eastAsia" w:ascii="仿宋" w:hAnsi="仿宋" w:eastAsia="仿宋"/>
          <w:b/>
          <w:sz w:val="24"/>
          <w:szCs w:val="24"/>
        </w:rPr>
        <w:t>提供</w:t>
      </w:r>
      <w:r>
        <w:rPr>
          <w:rFonts w:hint="eastAsia" w:ascii="仿宋" w:hAnsi="仿宋" w:eastAsia="仿宋"/>
          <w:b/>
          <w:sz w:val="24"/>
          <w:szCs w:val="24"/>
          <w:lang w:val="en-US" w:eastAsia="zh-CN"/>
        </w:rPr>
        <w:t>家具</w:t>
      </w:r>
      <w:r>
        <w:rPr>
          <w:rFonts w:hint="eastAsia" w:ascii="仿宋" w:hAnsi="仿宋" w:eastAsia="仿宋"/>
          <w:b/>
          <w:sz w:val="24"/>
          <w:szCs w:val="24"/>
        </w:rPr>
        <w:t>有害物质限量重金属检测报告，采购人有权委托第三方检测机构对货物的各项环保指标进行随时抽检，抽检合格的，检验费用由采购人承担；如检验不合格，检验费用由中标人负责，对不合格的货物采购人有权拒绝结算付款。</w:t>
      </w:r>
    </w:p>
    <w:p>
      <w:pPr>
        <w:pStyle w:val="20"/>
        <w:overflowPunct w:val="0"/>
        <w:snapToGrid w:val="0"/>
        <w:spacing w:line="320" w:lineRule="exact"/>
        <w:ind w:firstLine="480"/>
        <w:rPr>
          <w:rFonts w:ascii="仿宋" w:hAnsi="仿宋" w:eastAsia="仿宋"/>
          <w:sz w:val="24"/>
          <w:szCs w:val="24"/>
          <w:lang w:val="zh-CN"/>
        </w:rPr>
      </w:pPr>
      <w:r>
        <w:rPr>
          <w:rFonts w:hint="eastAsia" w:ascii="仿宋" w:hAnsi="仿宋" w:eastAsia="仿宋"/>
          <w:sz w:val="24"/>
          <w:szCs w:val="24"/>
        </w:rPr>
        <w:t>（10）本次招标相关成品及原材料检测报告需在完成全部设备、安装调试后检测出具。</w:t>
      </w:r>
    </w:p>
    <w:p>
      <w:pPr>
        <w:spacing w:line="320" w:lineRule="exact"/>
        <w:ind w:firstLine="482" w:firstLineChars="200"/>
        <w:rPr>
          <w:rFonts w:ascii="仿宋" w:hAnsi="仿宋" w:eastAsia="仿宋"/>
          <w:b/>
          <w:sz w:val="24"/>
          <w:szCs w:val="24"/>
        </w:rPr>
      </w:pPr>
      <w:r>
        <w:rPr>
          <w:rFonts w:hint="eastAsia" w:ascii="仿宋" w:hAnsi="仿宋" w:eastAsia="仿宋"/>
          <w:b/>
          <w:sz w:val="24"/>
          <w:szCs w:val="24"/>
        </w:rPr>
        <w:t>５.质量保证期</w:t>
      </w:r>
    </w:p>
    <w:p>
      <w:pPr>
        <w:spacing w:line="320" w:lineRule="exact"/>
        <w:ind w:firstLine="720" w:firstLineChars="300"/>
        <w:rPr>
          <w:rFonts w:ascii="仿宋" w:hAnsi="仿宋" w:eastAsia="仿宋"/>
          <w:sz w:val="24"/>
          <w:szCs w:val="24"/>
        </w:rPr>
      </w:pPr>
      <w:r>
        <w:rPr>
          <w:rFonts w:hint="eastAsia" w:ascii="仿宋" w:hAnsi="仿宋" w:eastAsia="仿宋"/>
          <w:sz w:val="24"/>
          <w:szCs w:val="24"/>
        </w:rPr>
        <w:t>5.1质保期：自项目验收合格并交付之日起，整体项目质保期为5年。质保期内的服务方式均为中标人上门保修，即由中标人派人员到设备使用现场维修，由此产生的一切费用均由中标人承担。供应商可根据自身实力提出更长的质保期，保修期自项目总体验收合格并交付之日起计算（若国家和/或生产厂家对本项目所涉及货物的质量保证期的规定高于本项目的要求，应按国家和/或生产厂家的规定执行）具体由中标人在投标文件中承诺。</w:t>
      </w:r>
    </w:p>
    <w:p>
      <w:pPr>
        <w:spacing w:line="320" w:lineRule="exact"/>
        <w:ind w:firstLine="720" w:firstLineChars="300"/>
        <w:rPr>
          <w:rFonts w:ascii="仿宋" w:hAnsi="仿宋" w:eastAsia="仿宋"/>
          <w:sz w:val="24"/>
          <w:szCs w:val="24"/>
        </w:rPr>
      </w:pPr>
      <w:r>
        <w:rPr>
          <w:rFonts w:hint="eastAsia" w:ascii="仿宋" w:hAnsi="仿宋" w:eastAsia="仿宋"/>
          <w:sz w:val="24"/>
          <w:szCs w:val="24"/>
        </w:rPr>
        <w:t>5.2质量保证期内：（1）质保期内发生非人为原因而出现产品质量及安装问题，由中标人负责上门包修、包换或包退，并承担因此而产生的一切费用。（2）质保期内，采购人所购货物各部件发生非人为故障，中标人应免费上门更换同种品牌规格型号的新部件。质保期内发生的质量问题，由中标人负责免费解决（因采购人使用不当或其他人为因素造成的故障除外）。（4）质保期内，因产品质量缺陷或安装不当引起人身安全事故，中标人承担所有经济责任和法律责任。</w:t>
      </w:r>
    </w:p>
    <w:p>
      <w:pPr>
        <w:tabs>
          <w:tab w:val="left" w:pos="738"/>
        </w:tabs>
        <w:spacing w:line="320" w:lineRule="exact"/>
        <w:ind w:left="480"/>
        <w:rPr>
          <w:rFonts w:ascii="仿宋" w:hAnsi="仿宋" w:eastAsia="仿宋"/>
          <w:b/>
          <w:sz w:val="24"/>
          <w:szCs w:val="24"/>
        </w:rPr>
      </w:pPr>
      <w:r>
        <w:rPr>
          <w:rFonts w:hint="eastAsia" w:ascii="仿宋" w:hAnsi="仿宋" w:eastAsia="仿宋"/>
          <w:b/>
          <w:sz w:val="24"/>
          <w:szCs w:val="24"/>
        </w:rPr>
        <w:t>6.售后服务</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（1）任何时候，中标人均不能免除因货物本身的缺陷所应负的责任，中标人有义务对所提供的货物实行终生维护和对货物进行定期的检测和维修。</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2）中标人应设有固定售后维护点，包括拥有相应的设备和人员，有稳定的售后服务体系，能提供良好的售后服务。在质保期内，对采购人的服务通知，中标人必须即时响应（包括电话响应），如电话响应无法解决的，须2小时内到达现场，12小时内恢复设备正常运行。若24小时内仍未处理完毕，中标人必须免费提供相当档次的设备予采购人临时使用或采取应急措施解决，不得影响采购人的正常业务使用。</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3）对于质量缺陷有争议的，采购人、中标人双方均可委托质量技术监督部门进行鉴定，如经鉴定属于中标人责任，则所有鉴定费用由中标人承担，中标人仍应继续履行更换或维修义务，同时应就延迟更换或维修向采购人承担违约责任，每迟延一日，中标人应向采购人支付人民币500元作为违约金，并赔偿采购人相应损失。</w:t>
      </w:r>
    </w:p>
    <w:p>
      <w:pPr>
        <w:tabs>
          <w:tab w:val="left" w:pos="738"/>
        </w:tabs>
        <w:spacing w:line="320" w:lineRule="exact"/>
        <w:rPr>
          <w:rFonts w:ascii="仿宋_GB2312" w:hAnsi="黑体" w:eastAsia="仿宋_GB2312"/>
          <w:b/>
          <w:sz w:val="24"/>
          <w:szCs w:val="24"/>
        </w:rPr>
      </w:pPr>
      <w:r>
        <w:rPr>
          <w:rFonts w:hint="eastAsia" w:ascii="仿宋" w:hAnsi="仿宋" w:eastAsia="仿宋"/>
          <w:sz w:val="24"/>
          <w:szCs w:val="24"/>
        </w:rPr>
        <w:t xml:space="preserve">   </w:t>
      </w:r>
    </w:p>
    <w:p>
      <w:pPr>
        <w:spacing w:line="320" w:lineRule="exact"/>
        <w:rPr>
          <w:rFonts w:ascii="仿宋" w:hAnsi="仿宋" w:eastAsia="仿宋"/>
          <w:sz w:val="24"/>
          <w:szCs w:val="24"/>
        </w:rPr>
      </w:pPr>
      <w:r>
        <w:rPr>
          <w:rFonts w:hint="eastAsia" w:ascii="仿宋" w:hAnsi="仿宋" w:eastAsia="仿宋"/>
          <w:sz w:val="24"/>
          <w:szCs w:val="24"/>
        </w:rPr>
        <w:t xml:space="preserve">    注：上述要求以及标注中</w:t>
      </w:r>
    </w:p>
    <w:p>
      <w:pPr>
        <w:snapToGrid w:val="0"/>
        <w:spacing w:line="320" w:lineRule="exact"/>
        <w:rPr>
          <w:rFonts w:ascii="仿宋" w:hAnsi="仿宋" w:eastAsia="仿宋"/>
          <w:sz w:val="24"/>
          <w:szCs w:val="24"/>
        </w:rPr>
      </w:pPr>
      <w:r>
        <w:rPr>
          <w:rFonts w:hint="eastAsia" w:ascii="仿宋" w:hAnsi="仿宋" w:eastAsia="仿宋"/>
          <w:sz w:val="24"/>
          <w:szCs w:val="24"/>
        </w:rPr>
        <w:t xml:space="preserve">    带“★”条款为实质性条款，投标人必须按照招标文件的要求做出实质性响应。</w:t>
      </w:r>
    </w:p>
    <w:p>
      <w:pPr>
        <w:snapToGrid w:val="0"/>
        <w:spacing w:line="320" w:lineRule="exact"/>
        <w:rPr>
          <w:rFonts w:ascii="仿宋" w:hAnsi="仿宋" w:eastAsia="仿宋"/>
          <w:sz w:val="24"/>
          <w:szCs w:val="24"/>
        </w:rPr>
      </w:pPr>
      <w:r>
        <w:rPr>
          <w:rFonts w:hint="eastAsia" w:ascii="仿宋" w:hAnsi="仿宋" w:eastAsia="仿宋"/>
          <w:sz w:val="24"/>
          <w:szCs w:val="24"/>
        </w:rPr>
        <w:t xml:space="preserve">    带“▲”标注的产品为政府强制采购节能产品。</w:t>
      </w:r>
    </w:p>
    <w:p>
      <w:pPr>
        <w:snapToGrid w:val="0"/>
        <w:spacing w:line="320" w:lineRule="exact"/>
        <w:rPr>
          <w:rFonts w:ascii="仿宋" w:hAnsi="仿宋" w:eastAsia="仿宋"/>
          <w:sz w:val="24"/>
          <w:szCs w:val="24"/>
        </w:rPr>
      </w:pPr>
      <w:r>
        <w:rPr>
          <w:rFonts w:hint="eastAsia" w:ascii="仿宋" w:hAnsi="仿宋" w:eastAsia="仿宋"/>
          <w:sz w:val="24"/>
          <w:szCs w:val="24"/>
        </w:rPr>
        <w:t xml:space="preserve">    带“●”标注的产品为核心产品，系指在非单一产品采购项目中，采购人根据采购项目技术构成、产品价格比重等合理确定的产品。</w:t>
      </w:r>
    </w:p>
    <w:p>
      <w:pPr>
        <w:snapToGrid w:val="0"/>
        <w:spacing w:line="320" w:lineRule="exact"/>
        <w:ind w:firstLine="480"/>
        <w:rPr>
          <w:rFonts w:ascii="仿宋" w:hAnsi="仿宋" w:eastAsia="仿宋"/>
          <w:sz w:val="24"/>
          <w:szCs w:val="24"/>
        </w:rPr>
      </w:pPr>
      <w:r>
        <w:rPr>
          <w:rFonts w:hint="eastAsia" w:ascii="仿宋" w:hAnsi="仿宋" w:eastAsia="仿宋"/>
          <w:sz w:val="24"/>
          <w:szCs w:val="24"/>
        </w:rPr>
        <w:t>带“※”标注的产品为供应商开标时应提供的样品。样品制作的标准和要求请按照技术要求执行、需要随样品提交相关检测报告、样品的评审方法以及评审标准按照技术要求和样品评分标准进行。</w:t>
      </w:r>
    </w:p>
    <w:p>
      <w:pPr>
        <w:pStyle w:val="11"/>
        <w:ind w:firstLine="480"/>
      </w:pPr>
    </w:p>
    <w:p>
      <w:pPr>
        <w:snapToGrid w:val="0"/>
        <w:spacing w:line="320" w:lineRule="exact"/>
        <w:rPr>
          <w:rFonts w:ascii="黑体" w:hAnsi="黑体" w:eastAsia="黑体"/>
          <w:sz w:val="32"/>
          <w:szCs w:val="32"/>
        </w:rPr>
      </w:pPr>
      <w:r>
        <w:rPr>
          <w:rFonts w:hint="eastAsia" w:ascii="黑体" w:hAnsi="黑体" w:eastAsia="黑体"/>
          <w:sz w:val="32"/>
          <w:szCs w:val="32"/>
        </w:rPr>
        <w:t xml:space="preserve">   五、供应商资格要求</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１.符合《中华人民共和国政府采购法》第二十二条规定的条件。</w:t>
      </w:r>
    </w:p>
    <w:p>
      <w:pPr>
        <w:widowControl/>
        <w:spacing w:line="320" w:lineRule="exact"/>
        <w:ind w:firstLine="480" w:firstLineChars="200"/>
        <w:jc w:val="left"/>
        <w:rPr>
          <w:rFonts w:ascii="仿宋" w:hAnsi="仿宋" w:eastAsia="仿宋"/>
          <w:sz w:val="24"/>
          <w:szCs w:val="24"/>
        </w:rPr>
      </w:pPr>
      <w:r>
        <w:rPr>
          <w:rFonts w:hint="eastAsia" w:ascii="仿宋" w:hAnsi="仿宋" w:eastAsia="仿宋" w:cs="仿宋"/>
          <w:sz w:val="24"/>
          <w:szCs w:val="24"/>
        </w:rPr>
        <w:t>２.</w:t>
      </w:r>
      <w:r>
        <w:rPr>
          <w:rFonts w:hint="eastAsia" w:ascii="仿宋" w:hAnsi="仿宋" w:eastAsia="仿宋"/>
          <w:sz w:val="24"/>
          <w:szCs w:val="24"/>
        </w:rPr>
        <w:t>采购公告发布之日前三年内无行贿犯罪等重大违法记录；</w:t>
      </w: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３.通过“信用中国”网站（www.creditchina.gov.cn）、中国政府采购网（www.ccgp.gov.cn）、信用山东(www.creditsd.gov.cn)及信用青岛（credit.qingdao.gov.cn）查询，未被列入失信被执行人、重大税收违法案件当事人、政府采购严重违法失信行为记录名单。</w:t>
      </w:r>
    </w:p>
    <w:p>
      <w:pPr>
        <w:adjustRightInd w:val="0"/>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4、本项目为面向中小企业预留份额的采购，专门面向中小企业采购。</w:t>
      </w:r>
    </w:p>
    <w:p>
      <w:pPr>
        <w:adjustRightInd w:val="0"/>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5. 本项目不允许违法分包或转包。</w:t>
      </w:r>
    </w:p>
    <w:p>
      <w:pPr>
        <w:adjustRightInd w:val="0"/>
        <w:snapToGrid w:val="0"/>
        <w:spacing w:line="320" w:lineRule="exact"/>
        <w:ind w:firstLine="480" w:firstLineChars="200"/>
        <w:rPr>
          <w:rFonts w:ascii="仿宋" w:hAnsi="仿宋" w:eastAsia="仿宋"/>
          <w:sz w:val="24"/>
          <w:szCs w:val="24"/>
        </w:rPr>
      </w:pPr>
      <w:r>
        <w:rPr>
          <w:rFonts w:hint="eastAsia" w:ascii="仿宋" w:hAnsi="仿宋" w:eastAsia="仿宋"/>
          <w:sz w:val="24"/>
          <w:szCs w:val="24"/>
        </w:rPr>
        <w:t>6.本项目不接受联合体投标。</w:t>
      </w:r>
    </w:p>
    <w:p>
      <w:pPr>
        <w:pStyle w:val="11"/>
        <w:rPr>
          <w:rFonts w:ascii="黑体" w:hAnsi="黑体" w:eastAsia="黑体" w:cstheme="minorBidi"/>
          <w:kern w:val="2"/>
          <w:sz w:val="32"/>
          <w:szCs w:val="32"/>
        </w:rPr>
      </w:pPr>
      <w:r>
        <w:rPr>
          <w:rFonts w:hint="eastAsia" w:ascii="仿宋" w:hAnsi="仿宋" w:eastAsia="仿宋" w:cstheme="minorBidi"/>
          <w:kern w:val="2"/>
          <w:sz w:val="24"/>
          <w:szCs w:val="24"/>
        </w:rPr>
        <w:t xml:space="preserve">    </w:t>
      </w:r>
      <w:r>
        <w:rPr>
          <w:rFonts w:hint="eastAsia" w:ascii="黑体" w:hAnsi="黑体" w:eastAsia="黑体" w:cstheme="minorBidi"/>
          <w:kern w:val="2"/>
          <w:sz w:val="32"/>
          <w:szCs w:val="32"/>
        </w:rPr>
        <w:t>六、论证意见</w:t>
      </w:r>
    </w:p>
    <w:p>
      <w:pPr>
        <w:pStyle w:val="5"/>
        <w:spacing w:line="460" w:lineRule="exact"/>
        <w:textAlignment w:val="baseline"/>
        <w:rPr>
          <w:rStyle w:val="25"/>
          <w:rFonts w:ascii="仿宋_GB2312" w:hAnsi="仿宋_GB2312" w:eastAsia="仿宋_GB2312" w:cs="仿宋_GB2312"/>
          <w:b/>
          <w:bCs/>
          <w:sz w:val="28"/>
          <w:szCs w:val="28"/>
        </w:rPr>
      </w:pPr>
      <w:r>
        <w:rPr>
          <w:rFonts w:hint="eastAsia" w:ascii="黑体" w:hAnsi="黑体" w:eastAsia="黑体"/>
          <w:sz w:val="32"/>
          <w:szCs w:val="32"/>
        </w:rPr>
        <w:t xml:space="preserve">   </w:t>
      </w:r>
      <w:r>
        <w:rPr>
          <w:rStyle w:val="25"/>
          <w:rFonts w:hint="eastAsia"/>
          <w:sz w:val="28"/>
          <w:szCs w:val="28"/>
        </w:rPr>
        <w:t>本项目采购人已组织专家论证，并根据专家论证意见完善制定了本政府采购项目需求方案，论证专家：</w:t>
      </w:r>
      <w:r>
        <w:rPr>
          <w:rStyle w:val="25"/>
          <w:rFonts w:hint="eastAsia" w:eastAsia="仿宋"/>
          <w:sz w:val="28"/>
          <w:szCs w:val="28"/>
          <w:lang w:val="en-US" w:eastAsia="zh-CN"/>
        </w:rPr>
        <w:t>牟善秀、王灿</w:t>
      </w:r>
      <w:r>
        <w:rPr>
          <w:rStyle w:val="25"/>
          <w:rFonts w:hint="eastAsia"/>
          <w:sz w:val="28"/>
          <w:szCs w:val="28"/>
        </w:rPr>
        <w:t>、李涛，采购人代表：</w:t>
      </w:r>
      <w:r>
        <w:rPr>
          <w:rStyle w:val="25"/>
          <w:rFonts w:hint="eastAsia" w:eastAsia="仿宋"/>
          <w:sz w:val="28"/>
          <w:szCs w:val="28"/>
          <w:lang w:val="en-US" w:eastAsia="zh-CN"/>
        </w:rPr>
        <w:t>郭潭、姜文娟</w:t>
      </w:r>
      <w:r>
        <w:rPr>
          <w:rStyle w:val="25"/>
          <w:rFonts w:hint="eastAsia"/>
          <w:sz w:val="28"/>
          <w:szCs w:val="28"/>
        </w:rPr>
        <w:t>。</w:t>
      </w:r>
    </w:p>
    <w:p>
      <w:pPr>
        <w:snapToGrid w:val="0"/>
        <w:spacing w:line="320" w:lineRule="exact"/>
        <w:rPr>
          <w:rFonts w:ascii="黑体" w:hAnsi="黑体" w:eastAsia="黑体"/>
          <w:sz w:val="32"/>
          <w:szCs w:val="32"/>
        </w:rPr>
      </w:pPr>
      <w:r>
        <w:rPr>
          <w:rFonts w:hint="eastAsia" w:ascii="黑体" w:hAnsi="黑体" w:eastAsia="黑体"/>
          <w:sz w:val="32"/>
          <w:szCs w:val="32"/>
        </w:rPr>
        <w:t xml:space="preserve">  七、评分办法</w:t>
      </w:r>
    </w:p>
    <w:p>
      <w:pPr>
        <w:overflowPunct w:val="0"/>
        <w:adjustRightInd w:val="0"/>
        <w:snapToGrid w:val="0"/>
        <w:spacing w:line="56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1.评分因素以及分值</w:t>
      </w:r>
    </w:p>
    <w:tbl>
      <w:tblPr>
        <w:tblStyle w:val="13"/>
        <w:tblW w:w="8816" w:type="dxa"/>
        <w:tblInd w:w="116" w:type="dxa"/>
        <w:tblLayout w:type="autofit"/>
        <w:tblCellMar>
          <w:top w:w="0" w:type="dxa"/>
          <w:left w:w="108" w:type="dxa"/>
          <w:bottom w:w="0" w:type="dxa"/>
          <w:right w:w="108" w:type="dxa"/>
        </w:tblCellMar>
      </w:tblPr>
      <w:tblGrid>
        <w:gridCol w:w="1506"/>
        <w:gridCol w:w="2796"/>
        <w:gridCol w:w="2568"/>
        <w:gridCol w:w="1946"/>
      </w:tblGrid>
      <w:tr>
        <w:tblPrEx>
          <w:tblCellMar>
            <w:top w:w="0" w:type="dxa"/>
            <w:left w:w="108" w:type="dxa"/>
            <w:bottom w:w="0" w:type="dxa"/>
            <w:right w:w="108" w:type="dxa"/>
          </w:tblCellMar>
        </w:tblPrEx>
        <w:trPr>
          <w:trHeight w:val="90" w:hRule="atLeast"/>
        </w:trPr>
        <w:tc>
          <w:tcPr>
            <w:tcW w:w="1506" w:type="dxa"/>
            <w:tcBorders>
              <w:top w:val="single" w:color="000000" w:sz="6" w:space="0"/>
              <w:left w:val="single" w:color="000000" w:sz="6" w:space="0"/>
              <w:bottom w:val="single" w:color="000000" w:sz="6" w:space="0"/>
              <w:right w:val="single" w:color="000000" w:sz="6" w:space="0"/>
            </w:tcBorders>
            <w:tcMar>
              <w:top w:w="100" w:type="dxa"/>
              <w:left w:w="108" w:type="dxa"/>
              <w:bottom w:w="0" w:type="dxa"/>
              <w:right w:w="100" w:type="dxa"/>
            </w:tcMar>
            <w:vAlign w:val="bottom"/>
          </w:tcPr>
          <w:p>
            <w:pPr>
              <w:widowControl/>
              <w:autoSpaceDE w:val="0"/>
              <w:autoSpaceDN w:val="0"/>
              <w:adjustRightInd w:val="0"/>
              <w:snapToGrid w:val="0"/>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评分因素</w:t>
            </w:r>
          </w:p>
        </w:tc>
        <w:tc>
          <w:tcPr>
            <w:tcW w:w="2796" w:type="dxa"/>
            <w:tcBorders>
              <w:top w:val="single" w:color="000000" w:sz="6" w:space="0"/>
              <w:left w:val="single" w:color="000000" w:sz="6" w:space="0"/>
              <w:bottom w:val="single" w:color="000000" w:sz="6" w:space="0"/>
              <w:right w:val="single" w:color="000000" w:sz="6" w:space="0"/>
            </w:tcBorders>
            <w:tcMar>
              <w:top w:w="100" w:type="dxa"/>
              <w:left w:w="108" w:type="dxa"/>
              <w:bottom w:w="0" w:type="dxa"/>
              <w:right w:w="100" w:type="dxa"/>
            </w:tcMar>
            <w:vAlign w:val="bottom"/>
          </w:tcPr>
          <w:p>
            <w:pPr>
              <w:widowControl/>
              <w:autoSpaceDE w:val="0"/>
              <w:autoSpaceDN w:val="0"/>
              <w:adjustRightInd w:val="0"/>
              <w:snapToGrid w:val="0"/>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商务部分</w:t>
            </w:r>
          </w:p>
        </w:tc>
        <w:tc>
          <w:tcPr>
            <w:tcW w:w="2568" w:type="dxa"/>
            <w:tcBorders>
              <w:top w:val="single" w:color="000000" w:sz="6" w:space="0"/>
              <w:left w:val="single" w:color="000000" w:sz="6" w:space="0"/>
              <w:bottom w:val="single" w:color="000000" w:sz="6" w:space="0"/>
              <w:right w:val="single" w:color="000000" w:sz="6" w:space="0"/>
            </w:tcBorders>
            <w:tcMar>
              <w:top w:w="100" w:type="dxa"/>
              <w:left w:w="108" w:type="dxa"/>
              <w:bottom w:w="0" w:type="dxa"/>
              <w:right w:w="100" w:type="dxa"/>
            </w:tcMar>
            <w:vAlign w:val="bottom"/>
          </w:tcPr>
          <w:p>
            <w:pPr>
              <w:widowControl/>
              <w:autoSpaceDE w:val="0"/>
              <w:autoSpaceDN w:val="0"/>
              <w:adjustRightInd w:val="0"/>
              <w:snapToGrid w:val="0"/>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技术部分</w:t>
            </w:r>
          </w:p>
        </w:tc>
        <w:tc>
          <w:tcPr>
            <w:tcW w:w="1946" w:type="dxa"/>
            <w:tcBorders>
              <w:top w:val="single" w:color="000000" w:sz="6" w:space="0"/>
              <w:left w:val="single" w:color="000000" w:sz="6" w:space="0"/>
              <w:bottom w:val="single" w:color="000000" w:sz="6" w:space="0"/>
              <w:right w:val="single" w:color="000000" w:sz="6" w:space="0"/>
            </w:tcBorders>
            <w:tcMar>
              <w:top w:w="100" w:type="dxa"/>
              <w:left w:w="108" w:type="dxa"/>
              <w:bottom w:w="0" w:type="dxa"/>
              <w:right w:w="100" w:type="dxa"/>
            </w:tcMar>
            <w:vAlign w:val="bottom"/>
          </w:tcPr>
          <w:p>
            <w:pPr>
              <w:widowControl/>
              <w:autoSpaceDE w:val="0"/>
              <w:autoSpaceDN w:val="0"/>
              <w:adjustRightInd w:val="0"/>
              <w:snapToGrid w:val="0"/>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总分</w:t>
            </w:r>
          </w:p>
        </w:tc>
      </w:tr>
      <w:tr>
        <w:tblPrEx>
          <w:tblCellMar>
            <w:top w:w="0" w:type="dxa"/>
            <w:left w:w="108" w:type="dxa"/>
            <w:bottom w:w="0" w:type="dxa"/>
            <w:right w:w="108" w:type="dxa"/>
          </w:tblCellMar>
        </w:tblPrEx>
        <w:trPr>
          <w:trHeight w:val="90" w:hRule="atLeast"/>
        </w:trPr>
        <w:tc>
          <w:tcPr>
            <w:tcW w:w="1506" w:type="dxa"/>
            <w:tcBorders>
              <w:top w:val="single" w:color="000000" w:sz="6" w:space="0"/>
              <w:left w:val="single" w:color="000000" w:sz="6" w:space="0"/>
              <w:bottom w:val="single" w:color="000000" w:sz="6" w:space="0"/>
              <w:right w:val="single" w:color="000000" w:sz="6" w:space="0"/>
            </w:tcBorders>
            <w:tcMar>
              <w:top w:w="100" w:type="dxa"/>
              <w:left w:w="108" w:type="dxa"/>
              <w:bottom w:w="0" w:type="dxa"/>
              <w:right w:w="100" w:type="dxa"/>
            </w:tcMar>
            <w:vAlign w:val="bottom"/>
          </w:tcPr>
          <w:p>
            <w:pPr>
              <w:widowControl/>
              <w:autoSpaceDE w:val="0"/>
              <w:autoSpaceDN w:val="0"/>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分值比重</w:t>
            </w:r>
          </w:p>
        </w:tc>
        <w:tc>
          <w:tcPr>
            <w:tcW w:w="2796" w:type="dxa"/>
            <w:tcBorders>
              <w:top w:val="single" w:color="000000" w:sz="6" w:space="0"/>
              <w:left w:val="single" w:color="000000" w:sz="6" w:space="0"/>
              <w:bottom w:val="single" w:color="000000" w:sz="6" w:space="0"/>
              <w:right w:val="single" w:color="000000" w:sz="6" w:space="0"/>
            </w:tcBorders>
            <w:tcMar>
              <w:top w:w="100" w:type="dxa"/>
              <w:left w:w="108" w:type="dxa"/>
              <w:bottom w:w="0" w:type="dxa"/>
              <w:right w:w="100" w:type="dxa"/>
            </w:tcMar>
            <w:vAlign w:val="bottom"/>
          </w:tcPr>
          <w:p>
            <w:pPr>
              <w:widowControl/>
              <w:autoSpaceDE w:val="0"/>
              <w:autoSpaceDN w:val="0"/>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48分</w:t>
            </w:r>
          </w:p>
        </w:tc>
        <w:tc>
          <w:tcPr>
            <w:tcW w:w="2568" w:type="dxa"/>
            <w:tcBorders>
              <w:top w:val="single" w:color="000000" w:sz="6" w:space="0"/>
              <w:left w:val="single" w:color="000000" w:sz="6" w:space="0"/>
              <w:bottom w:val="single" w:color="000000" w:sz="6" w:space="0"/>
              <w:right w:val="single" w:color="000000" w:sz="6" w:space="0"/>
            </w:tcBorders>
            <w:tcMar>
              <w:top w:w="100" w:type="dxa"/>
              <w:left w:w="108" w:type="dxa"/>
              <w:bottom w:w="0" w:type="dxa"/>
              <w:right w:w="100" w:type="dxa"/>
            </w:tcMar>
            <w:vAlign w:val="bottom"/>
          </w:tcPr>
          <w:p>
            <w:pPr>
              <w:widowControl/>
              <w:autoSpaceDE w:val="0"/>
              <w:autoSpaceDN w:val="0"/>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52分</w:t>
            </w:r>
          </w:p>
        </w:tc>
        <w:tc>
          <w:tcPr>
            <w:tcW w:w="1946" w:type="dxa"/>
            <w:tcBorders>
              <w:top w:val="single" w:color="000000" w:sz="6" w:space="0"/>
              <w:left w:val="single" w:color="000000" w:sz="6" w:space="0"/>
              <w:bottom w:val="single" w:color="000000" w:sz="6" w:space="0"/>
              <w:right w:val="single" w:color="000000" w:sz="6" w:space="0"/>
            </w:tcBorders>
            <w:tcMar>
              <w:top w:w="100" w:type="dxa"/>
              <w:left w:w="108" w:type="dxa"/>
              <w:bottom w:w="0" w:type="dxa"/>
              <w:right w:w="100" w:type="dxa"/>
            </w:tcMar>
            <w:vAlign w:val="bottom"/>
          </w:tcPr>
          <w:p>
            <w:pPr>
              <w:widowControl/>
              <w:autoSpaceDE w:val="0"/>
              <w:autoSpaceDN w:val="0"/>
              <w:adjustRightInd w:val="0"/>
              <w:snapToGrid w:val="0"/>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100分</w:t>
            </w:r>
          </w:p>
        </w:tc>
      </w:tr>
    </w:tbl>
    <w:p>
      <w:pPr>
        <w:overflowPunct w:val="0"/>
        <w:adjustRightInd w:val="0"/>
        <w:snapToGrid w:val="0"/>
        <w:spacing w:line="56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2.商务部分</w:t>
      </w:r>
    </w:p>
    <w:tbl>
      <w:tblPr>
        <w:tblStyle w:val="13"/>
        <w:tblW w:w="8818" w:type="dxa"/>
        <w:tblInd w:w="116" w:type="dxa"/>
        <w:tblLayout w:type="autofit"/>
        <w:tblCellMar>
          <w:top w:w="0" w:type="dxa"/>
          <w:left w:w="108" w:type="dxa"/>
          <w:bottom w:w="0" w:type="dxa"/>
          <w:right w:w="108" w:type="dxa"/>
        </w:tblCellMar>
      </w:tblPr>
      <w:tblGrid>
        <w:gridCol w:w="1493"/>
        <w:gridCol w:w="851"/>
        <w:gridCol w:w="6474"/>
      </w:tblGrid>
      <w:tr>
        <w:tblPrEx>
          <w:tblCellMar>
            <w:top w:w="0" w:type="dxa"/>
            <w:left w:w="108" w:type="dxa"/>
            <w:bottom w:w="0" w:type="dxa"/>
            <w:right w:w="108" w:type="dxa"/>
          </w:tblCellMar>
        </w:tblPrEx>
        <w:trPr>
          <w:trHeight w:val="202" w:hRule="atLeast"/>
        </w:trPr>
        <w:tc>
          <w:tcPr>
            <w:tcW w:w="1493"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评分因素</w:t>
            </w:r>
          </w:p>
        </w:tc>
        <w:tc>
          <w:tcPr>
            <w:tcW w:w="851"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分数</w:t>
            </w:r>
          </w:p>
        </w:tc>
        <w:tc>
          <w:tcPr>
            <w:tcW w:w="6474"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评分标准</w:t>
            </w:r>
          </w:p>
        </w:tc>
      </w:tr>
      <w:tr>
        <w:tblPrEx>
          <w:tblCellMar>
            <w:top w:w="0" w:type="dxa"/>
            <w:left w:w="108" w:type="dxa"/>
            <w:bottom w:w="0" w:type="dxa"/>
            <w:right w:w="108" w:type="dxa"/>
          </w:tblCellMar>
        </w:tblPrEx>
        <w:trPr>
          <w:trHeight w:val="923" w:hRule="atLeast"/>
        </w:trPr>
        <w:tc>
          <w:tcPr>
            <w:tcW w:w="1493"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sz w:val="24"/>
                <w:szCs w:val="24"/>
              </w:rPr>
            </w:pPr>
            <w:r>
              <w:rPr>
                <w:rStyle w:val="25"/>
                <w:rFonts w:hint="eastAsia" w:ascii="仿宋_GB2312" w:hAnsi="仿宋_GB2312" w:eastAsia="仿宋_GB2312" w:cs="仿宋_GB2312"/>
                <w:sz w:val="24"/>
                <w:szCs w:val="24"/>
              </w:rPr>
              <w:t>投标报价</w:t>
            </w:r>
          </w:p>
        </w:tc>
        <w:tc>
          <w:tcPr>
            <w:tcW w:w="851"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sz w:val="24"/>
                <w:szCs w:val="24"/>
              </w:rPr>
            </w:pPr>
            <w:r>
              <w:rPr>
                <w:rStyle w:val="25"/>
                <w:rFonts w:hint="eastAsia" w:ascii="仿宋_GB2312" w:hAnsi="仿宋_GB2312" w:eastAsia="仿宋_GB2312" w:cs="仿宋_GB2312"/>
                <w:sz w:val="24"/>
                <w:szCs w:val="24"/>
              </w:rPr>
              <w:t>35分</w:t>
            </w:r>
          </w:p>
        </w:tc>
        <w:tc>
          <w:tcPr>
            <w:tcW w:w="6474"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ind w:firstLine="480" w:firstLineChars="200"/>
              <w:rPr>
                <w:rFonts w:ascii="仿宋_GB2312" w:hAnsi="仿宋_GB2312" w:eastAsia="仿宋_GB2312" w:cs="仿宋_GB2312"/>
                <w:b/>
                <w:sz w:val="24"/>
                <w:szCs w:val="24"/>
              </w:rPr>
            </w:pPr>
            <w:r>
              <w:rPr>
                <w:rStyle w:val="25"/>
                <w:rFonts w:hint="eastAsia" w:ascii="仿宋_GB2312" w:hAnsi="仿宋_GB2312" w:eastAsia="仿宋_GB2312" w:cs="仿宋_GB2312"/>
                <w:sz w:val="24"/>
                <w:szCs w:val="24"/>
              </w:rPr>
              <w:t>满足招标文件要求且投标价格（或者最终价格）最低的投标报价为评标基准价，其价格分为满分。</w:t>
            </w:r>
          </w:p>
          <w:p>
            <w:pPr>
              <w:widowControl/>
              <w:autoSpaceDE w:val="0"/>
              <w:autoSpaceDN w:val="0"/>
              <w:adjustRightInd w:val="0"/>
              <w:snapToGrid w:val="0"/>
              <w:spacing w:line="320" w:lineRule="exact"/>
              <w:rPr>
                <w:rFonts w:ascii="仿宋_GB2312" w:hAnsi="仿宋_GB2312" w:eastAsia="仿宋_GB2312" w:cs="仿宋_GB2312"/>
                <w:b/>
                <w:sz w:val="24"/>
                <w:szCs w:val="24"/>
              </w:rPr>
            </w:pPr>
            <w:r>
              <w:rPr>
                <w:rStyle w:val="25"/>
                <w:rFonts w:hint="eastAsia" w:ascii="仿宋_GB2312" w:hAnsi="仿宋_GB2312" w:eastAsia="仿宋_GB2312" w:cs="仿宋_GB2312"/>
                <w:sz w:val="24"/>
                <w:szCs w:val="24"/>
              </w:rPr>
              <w:t>其它报价得分=评标基准价÷（投标报价或者最终价格）×35。</w:t>
            </w:r>
          </w:p>
          <w:p>
            <w:pPr>
              <w:widowControl/>
              <w:autoSpaceDE w:val="0"/>
              <w:autoSpaceDN w:val="0"/>
              <w:adjustRightInd w:val="0"/>
              <w:snapToGrid w:val="0"/>
              <w:spacing w:line="320" w:lineRule="exact"/>
              <w:ind w:firstLine="482" w:firstLineChars="200"/>
              <w:rPr>
                <w:rFonts w:ascii="仿宋_GB2312" w:hAnsi="仿宋_GB2312" w:eastAsia="仿宋_GB2312" w:cs="仿宋_GB2312"/>
                <w:b/>
                <w:sz w:val="24"/>
                <w:szCs w:val="24"/>
              </w:rPr>
            </w:pPr>
          </w:p>
        </w:tc>
      </w:tr>
      <w:tr>
        <w:tblPrEx>
          <w:tblCellMar>
            <w:top w:w="0" w:type="dxa"/>
            <w:left w:w="108" w:type="dxa"/>
            <w:bottom w:w="0" w:type="dxa"/>
            <w:right w:w="108" w:type="dxa"/>
          </w:tblCellMar>
        </w:tblPrEx>
        <w:trPr>
          <w:trHeight w:val="920" w:hRule="atLeast"/>
        </w:trPr>
        <w:tc>
          <w:tcPr>
            <w:tcW w:w="1493"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企业业绩</w:t>
            </w:r>
          </w:p>
        </w:tc>
        <w:tc>
          <w:tcPr>
            <w:tcW w:w="851"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Style w:val="25"/>
                <w:rFonts w:ascii="仿宋_GB2312" w:hAnsi="仿宋_GB2312" w:eastAsia="仿宋_GB2312" w:cs="仿宋_GB2312"/>
                <w:sz w:val="24"/>
                <w:szCs w:val="24"/>
              </w:rPr>
            </w:pPr>
            <w:r>
              <w:rPr>
                <w:rStyle w:val="25"/>
                <w:rFonts w:hint="eastAsia" w:ascii="仿宋_GB2312" w:hAnsi="仿宋_GB2312" w:eastAsia="仿宋_GB2312" w:cs="仿宋_GB2312"/>
                <w:sz w:val="24"/>
                <w:szCs w:val="24"/>
              </w:rPr>
              <w:t>3分</w:t>
            </w:r>
          </w:p>
        </w:tc>
        <w:tc>
          <w:tcPr>
            <w:tcW w:w="6474"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rPr>
                <w:rStyle w:val="25"/>
                <w:rFonts w:ascii="仿宋_GB2312" w:hAnsi="仿宋_GB2312" w:eastAsia="仿宋_GB2312" w:cs="仿宋_GB2312"/>
                <w:sz w:val="24"/>
                <w:szCs w:val="24"/>
              </w:rPr>
            </w:pPr>
            <w:r>
              <w:rPr>
                <w:rStyle w:val="25"/>
                <w:rFonts w:hint="eastAsia" w:ascii="仿宋_GB2312" w:hAnsi="仿宋_GB2312" w:eastAsia="仿宋_GB2312" w:cs="仿宋_GB2312"/>
                <w:sz w:val="24"/>
                <w:szCs w:val="24"/>
              </w:rPr>
              <w:t xml:space="preserve">    投标人自2020年1 月1 日至今已完成的同类项目（同类项目指：家具供应项目），每项得0.5分，最高得3分。</w:t>
            </w:r>
          </w:p>
          <w:p>
            <w:pPr>
              <w:adjustRightInd w:val="0"/>
              <w:snapToGrid w:val="0"/>
              <w:spacing w:line="320" w:lineRule="exact"/>
              <w:rPr>
                <w:rStyle w:val="25"/>
                <w:rFonts w:ascii="仿宋_GB2312" w:hAnsi="仿宋_GB2312" w:eastAsia="仿宋_GB2312" w:cs="仿宋_GB2312"/>
                <w:sz w:val="24"/>
                <w:szCs w:val="24"/>
              </w:rPr>
            </w:pPr>
            <w:r>
              <w:rPr>
                <w:rStyle w:val="25"/>
                <w:rFonts w:hint="eastAsia" w:ascii="仿宋_GB2312" w:hAnsi="仿宋_GB2312" w:eastAsia="仿宋_GB2312" w:cs="仿宋_GB2312"/>
                <w:sz w:val="24"/>
                <w:szCs w:val="24"/>
              </w:rPr>
              <w:t>须同时提供同一项目的中标通知书、合同和</w:t>
            </w:r>
            <w:r>
              <w:rPr>
                <w:rStyle w:val="25"/>
                <w:rFonts w:hint="eastAsia" w:ascii="仿宋_GB2312" w:hAnsi="仿宋_GB2312" w:eastAsia="仿宋_GB2312" w:cs="仿宋_GB2312"/>
                <w:sz w:val="24"/>
                <w:szCs w:val="24"/>
                <w:lang w:val="en-US" w:eastAsia="zh-CN"/>
              </w:rPr>
              <w:t>验收报告</w:t>
            </w:r>
            <w:r>
              <w:rPr>
                <w:rStyle w:val="25"/>
                <w:rFonts w:hint="eastAsia" w:ascii="仿宋_GB2312" w:hAnsi="仿宋_GB2312" w:eastAsia="仿宋_GB2312" w:cs="仿宋_GB2312"/>
                <w:sz w:val="24"/>
                <w:szCs w:val="24"/>
              </w:rPr>
              <w:t>，三项缺一项不得分。同类项目认定时间以合同签订日期签署时间为准。</w:t>
            </w:r>
          </w:p>
        </w:tc>
      </w:tr>
      <w:tr>
        <w:tblPrEx>
          <w:tblCellMar>
            <w:top w:w="0" w:type="dxa"/>
            <w:left w:w="108" w:type="dxa"/>
            <w:bottom w:w="0" w:type="dxa"/>
            <w:right w:w="108" w:type="dxa"/>
          </w:tblCellMar>
        </w:tblPrEx>
        <w:trPr>
          <w:trHeight w:val="1048" w:hRule="atLeast"/>
        </w:trPr>
        <w:tc>
          <w:tcPr>
            <w:tcW w:w="1493"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sz w:val="24"/>
                <w:szCs w:val="24"/>
              </w:rPr>
            </w:pPr>
            <w:r>
              <w:rPr>
                <w:rStyle w:val="25"/>
                <w:rFonts w:hint="eastAsia" w:ascii="仿宋_GB2312" w:hAnsi="仿宋_GB2312" w:eastAsia="仿宋_GB2312" w:cs="仿宋_GB2312"/>
                <w:sz w:val="24"/>
                <w:szCs w:val="24"/>
              </w:rPr>
              <w:t>体系认证</w:t>
            </w:r>
          </w:p>
        </w:tc>
        <w:tc>
          <w:tcPr>
            <w:tcW w:w="851"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autoSpaceDE w:val="0"/>
              <w:autoSpaceDN w:val="0"/>
              <w:adjustRightInd w:val="0"/>
              <w:snapToGrid w:val="0"/>
              <w:spacing w:line="320" w:lineRule="exact"/>
              <w:jc w:val="center"/>
              <w:rPr>
                <w:rFonts w:ascii="仿宋_GB2312" w:hAnsi="仿宋_GB2312" w:eastAsia="仿宋_GB2312" w:cs="仿宋_GB2312"/>
                <w:b/>
                <w:sz w:val="24"/>
                <w:szCs w:val="24"/>
              </w:rPr>
            </w:pPr>
            <w:r>
              <w:rPr>
                <w:rStyle w:val="25"/>
                <w:rFonts w:hint="eastAsia" w:ascii="仿宋_GB2312" w:hAnsi="仿宋_GB2312" w:eastAsia="仿宋_GB2312" w:cs="仿宋_GB2312"/>
                <w:sz w:val="24"/>
                <w:szCs w:val="24"/>
              </w:rPr>
              <w:t>3分</w:t>
            </w:r>
          </w:p>
        </w:tc>
        <w:tc>
          <w:tcPr>
            <w:tcW w:w="6474"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    1制造商取得有效期内的ISO9001系列质量管理体系认证证书得1分；</w:t>
            </w:r>
          </w:p>
          <w:p>
            <w:pPr>
              <w:adjustRightInd w:val="0"/>
              <w:snapToGrid w:val="0"/>
              <w:spacing w:line="320" w:lineRule="exact"/>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    2.制造商取得有效期内的ISO14001系列环境管理体系认证证书得1分；</w:t>
            </w:r>
          </w:p>
          <w:p>
            <w:pPr>
              <w:adjustRightInd w:val="0"/>
              <w:snapToGrid w:val="0"/>
              <w:spacing w:line="320" w:lineRule="exact"/>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    3.制造商取得有效ISO45001或 OHSAS18001职业健康安全管理体系认证证书得1分。</w:t>
            </w:r>
          </w:p>
          <w:p>
            <w:pPr>
              <w:adjustRightInd w:val="0"/>
              <w:snapToGrid w:val="0"/>
              <w:spacing w:line="320" w:lineRule="exact"/>
              <w:rPr>
                <w:rFonts w:ascii="仿宋_GB2312" w:hAnsi="仿宋_GB2312" w:eastAsia="仿宋_GB2312" w:cs="仿宋_GB2312"/>
                <w:sz w:val="24"/>
                <w:szCs w:val="24"/>
              </w:rPr>
            </w:pPr>
            <w:r>
              <w:rPr>
                <w:rFonts w:hint="eastAsia" w:ascii="仿宋_GB2312" w:hAnsi="仿宋_GB2312" w:eastAsia="仿宋_GB2312" w:cs="仿宋_GB2312"/>
                <w:b/>
                <w:bCs/>
                <w:sz w:val="24"/>
                <w:szCs w:val="24"/>
              </w:rPr>
              <w:t xml:space="preserve">    </w:t>
            </w:r>
            <w:r>
              <w:rPr>
                <w:rFonts w:hint="eastAsia" w:ascii="仿宋_GB2312" w:hAnsi="仿宋_GB2312" w:eastAsia="仿宋_GB2312" w:cs="仿宋_GB2312"/>
                <w:bCs/>
                <w:sz w:val="24"/>
                <w:szCs w:val="24"/>
              </w:rPr>
              <w:t>以上证书认证范围需包含钢木家具的生产，投标人需提供相关认证证书原件电子文档，未提供不得分。</w:t>
            </w:r>
          </w:p>
        </w:tc>
      </w:tr>
      <w:tr>
        <w:tblPrEx>
          <w:tblCellMar>
            <w:top w:w="0" w:type="dxa"/>
            <w:left w:w="108" w:type="dxa"/>
            <w:bottom w:w="0" w:type="dxa"/>
            <w:right w:w="108" w:type="dxa"/>
          </w:tblCellMar>
        </w:tblPrEx>
        <w:trPr>
          <w:trHeight w:val="296" w:hRule="atLeast"/>
        </w:trPr>
        <w:tc>
          <w:tcPr>
            <w:tcW w:w="1493"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质保期</w:t>
            </w:r>
          </w:p>
        </w:tc>
        <w:tc>
          <w:tcPr>
            <w:tcW w:w="851"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2分</w:t>
            </w:r>
          </w:p>
        </w:tc>
        <w:tc>
          <w:tcPr>
            <w:tcW w:w="6474"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rPr>
                <w:rFonts w:ascii="仿宋_GB2312" w:hAnsi="仿宋_GB2312" w:eastAsia="仿宋_GB2312" w:cs="仿宋_GB2312"/>
                <w:b/>
                <w:sz w:val="24"/>
                <w:szCs w:val="24"/>
              </w:rPr>
            </w:pPr>
            <w:r>
              <w:rPr>
                <w:rFonts w:hint="eastAsia" w:ascii="仿宋_GB2312" w:hAnsi="仿宋_GB2312" w:eastAsia="仿宋_GB2312" w:cs="仿宋_GB2312"/>
                <w:sz w:val="24"/>
                <w:szCs w:val="24"/>
              </w:rPr>
              <w:t xml:space="preserve">    在满足采购文件质保期的基础上，每增加一年得0.5分，满分2分（以商务响应表中的质保期为准）。</w:t>
            </w:r>
          </w:p>
        </w:tc>
      </w:tr>
      <w:tr>
        <w:tblPrEx>
          <w:tblCellMar>
            <w:top w:w="0" w:type="dxa"/>
            <w:left w:w="108" w:type="dxa"/>
            <w:bottom w:w="0" w:type="dxa"/>
            <w:right w:w="108" w:type="dxa"/>
          </w:tblCellMar>
        </w:tblPrEx>
        <w:trPr>
          <w:trHeight w:val="1179" w:hRule="atLeast"/>
        </w:trPr>
        <w:tc>
          <w:tcPr>
            <w:tcW w:w="1493"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adjustRightInd w:val="0"/>
              <w:snapToGrid w:val="0"/>
              <w:spacing w:line="320" w:lineRule="exact"/>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节能环保产品加分</w:t>
            </w:r>
          </w:p>
        </w:tc>
        <w:tc>
          <w:tcPr>
            <w:tcW w:w="851"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adjustRightInd w:val="0"/>
              <w:snapToGrid w:val="0"/>
              <w:spacing w:line="320" w:lineRule="exact"/>
              <w:jc w:val="center"/>
              <w:rPr>
                <w:rFonts w:ascii="仿宋_GB2312" w:hAnsi="仿宋_GB2312" w:eastAsia="仿宋_GB2312" w:cs="仿宋_GB2312"/>
                <w:b/>
                <w:sz w:val="24"/>
                <w:szCs w:val="24"/>
              </w:rPr>
            </w:pPr>
            <w:r>
              <w:rPr>
                <w:rFonts w:hint="eastAsia" w:ascii="仿宋_GB2312" w:hAnsi="仿宋_GB2312" w:eastAsia="仿宋_GB2312" w:cs="仿宋_GB2312"/>
                <w:sz w:val="24"/>
                <w:szCs w:val="24"/>
              </w:rPr>
              <w:t>5分</w:t>
            </w:r>
          </w:p>
        </w:tc>
        <w:tc>
          <w:tcPr>
            <w:tcW w:w="6474"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rPr>
                <w:rFonts w:hint="eastAsia" w:ascii="仿宋_GB2312" w:hAnsi="仿宋_GB2312" w:eastAsia="仿宋_GB2312" w:cs="仿宋_GB2312"/>
                <w:b/>
                <w:sz w:val="24"/>
                <w:szCs w:val="24"/>
                <w:lang w:eastAsia="zh-CN"/>
              </w:rPr>
            </w:pPr>
            <w:r>
              <w:rPr>
                <w:rFonts w:hint="eastAsia" w:ascii="仿宋_GB2312" w:hAnsi="仿宋_GB2312" w:eastAsia="仿宋_GB2312" w:cs="仿宋_GB2312"/>
                <w:sz w:val="24"/>
                <w:szCs w:val="24"/>
              </w:rPr>
              <w:t xml:space="preserve">    产品具有市场监管总局确定的认证机构出具的、处于有效期之内的节能产品、环境标志产品认证证书。加分计算方法是：“节能、环保产品”优采加分：加分=5×[所投“节能、环保产品”（政府强制采购节能产品除外）中的产品价格在投标报价中所占比例]，总计最高加5分。若所投产品同时具有节能产品认证证书和环境标志产品认证证书的，则应当优先于只具有一种认证证书的进行优采加分，不能重复加分。开标时，须同时提供市场监管总局确定的节能产品、环境标志产品认证机构出具的、处于有效期之内的节能产品、环境标志产品认证证书原件或复印件加盖公章电子文档，否则不得分。</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环境标志产品政府采购品目清单内：A05010399手术室圆凳（固定脚）、A05010599器械柜、A05010599物品柜、A05010599存储柜、A05010599储镜柜、A05010599标本存放柜、A05010299摆药台、A05010399不锈钢踏凳大、A05010399不锈钢踏凳中、A05010399不锈钢踏凳小、A05010599无菌柜（器械橱）、A05010599导管橱</w:t>
            </w:r>
            <w:r>
              <w:rPr>
                <w:rFonts w:hint="eastAsia" w:ascii="仿宋_GB2312" w:hAnsi="仿宋_GB2312" w:eastAsia="仿宋_GB2312" w:cs="仿宋_GB2312"/>
                <w:sz w:val="24"/>
                <w:szCs w:val="24"/>
                <w:lang w:eastAsia="zh-CN"/>
              </w:rPr>
              <w:t>）</w:t>
            </w:r>
          </w:p>
        </w:tc>
      </w:tr>
    </w:tbl>
    <w:p>
      <w:pPr>
        <w:overflowPunct w:val="0"/>
        <w:adjustRightInd w:val="0"/>
        <w:snapToGrid w:val="0"/>
        <w:spacing w:line="560" w:lineRule="exact"/>
        <w:ind w:firstLine="482" w:firstLineChars="200"/>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3.技术部分</w:t>
      </w:r>
    </w:p>
    <w:tbl>
      <w:tblPr>
        <w:tblStyle w:val="13"/>
        <w:tblW w:w="9238" w:type="dxa"/>
        <w:tblInd w:w="116" w:type="dxa"/>
        <w:tblLayout w:type="autofit"/>
        <w:tblCellMar>
          <w:top w:w="0" w:type="dxa"/>
          <w:left w:w="108" w:type="dxa"/>
          <w:bottom w:w="0" w:type="dxa"/>
          <w:right w:w="108" w:type="dxa"/>
        </w:tblCellMar>
      </w:tblPr>
      <w:tblGrid>
        <w:gridCol w:w="1725"/>
        <w:gridCol w:w="845"/>
        <w:gridCol w:w="6668"/>
      </w:tblGrid>
      <w:tr>
        <w:tblPrEx>
          <w:tblCellMar>
            <w:top w:w="0" w:type="dxa"/>
            <w:left w:w="108" w:type="dxa"/>
            <w:bottom w:w="0" w:type="dxa"/>
            <w:right w:w="108" w:type="dxa"/>
          </w:tblCellMar>
        </w:tblPrEx>
        <w:trPr>
          <w:trHeight w:val="90" w:hRule="atLeast"/>
        </w:trPr>
        <w:tc>
          <w:tcPr>
            <w:tcW w:w="1725" w:type="dxa"/>
            <w:tcBorders>
              <w:top w:val="single" w:color="auto" w:sz="6" w:space="0"/>
              <w:left w:val="single" w:color="000000" w:sz="6" w:space="0"/>
              <w:bottom w:val="single" w:color="auto" w:sz="6" w:space="0"/>
              <w:right w:val="single" w:color="auto" w:sz="6" w:space="0"/>
            </w:tcBorders>
            <w:vAlign w:val="center"/>
          </w:tcPr>
          <w:p>
            <w:pPr>
              <w:widowControl/>
              <w:autoSpaceDE w:val="0"/>
              <w:autoSpaceDN w:val="0"/>
              <w:adjustRightInd w:val="0"/>
              <w:snapToGrid w:val="0"/>
              <w:spacing w:line="320" w:lineRule="exact"/>
              <w:jc w:val="center"/>
              <w:rPr>
                <w:rFonts w:ascii="仿宋_GB2312" w:hAnsi="仿宋_GB2312" w:eastAsia="仿宋_GB2312" w:cs="仿宋_GB2312"/>
                <w:b/>
                <w:bCs/>
                <w:color w:val="auto"/>
                <w:sz w:val="24"/>
                <w:szCs w:val="24"/>
                <w:highlight w:val="none"/>
              </w:rPr>
            </w:pPr>
            <w:r>
              <w:rPr>
                <w:rStyle w:val="25"/>
                <w:rFonts w:hint="eastAsia" w:ascii="仿宋_GB2312" w:hAnsi="仿宋_GB2312" w:eastAsia="仿宋_GB2312" w:cs="仿宋_GB2312"/>
                <w:b/>
                <w:bCs/>
                <w:color w:val="auto"/>
                <w:sz w:val="24"/>
                <w:szCs w:val="24"/>
                <w:highlight w:val="none"/>
              </w:rPr>
              <w:t>评分因素</w:t>
            </w:r>
          </w:p>
        </w:tc>
        <w:tc>
          <w:tcPr>
            <w:tcW w:w="845"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bCs/>
                <w:color w:val="auto"/>
                <w:sz w:val="24"/>
                <w:szCs w:val="24"/>
                <w:highlight w:val="none"/>
              </w:rPr>
            </w:pPr>
            <w:r>
              <w:rPr>
                <w:rStyle w:val="25"/>
                <w:rFonts w:hint="eastAsia" w:ascii="仿宋_GB2312" w:hAnsi="仿宋_GB2312" w:eastAsia="仿宋_GB2312" w:cs="仿宋_GB2312"/>
                <w:b/>
                <w:bCs/>
                <w:color w:val="auto"/>
                <w:sz w:val="24"/>
                <w:szCs w:val="24"/>
                <w:highlight w:val="none"/>
              </w:rPr>
              <w:t>分数</w:t>
            </w:r>
          </w:p>
        </w:tc>
        <w:tc>
          <w:tcPr>
            <w:tcW w:w="6668"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bCs/>
                <w:color w:val="auto"/>
                <w:sz w:val="24"/>
                <w:szCs w:val="24"/>
                <w:highlight w:val="none"/>
              </w:rPr>
            </w:pPr>
            <w:r>
              <w:rPr>
                <w:rStyle w:val="25"/>
                <w:rFonts w:hint="eastAsia" w:ascii="仿宋_GB2312" w:hAnsi="仿宋_GB2312" w:eastAsia="仿宋_GB2312" w:cs="仿宋_GB2312"/>
                <w:b/>
                <w:bCs/>
                <w:color w:val="auto"/>
                <w:sz w:val="24"/>
                <w:szCs w:val="24"/>
                <w:highlight w:val="none"/>
              </w:rPr>
              <w:t>评分标准</w:t>
            </w:r>
          </w:p>
        </w:tc>
      </w:tr>
      <w:tr>
        <w:tblPrEx>
          <w:tblCellMar>
            <w:top w:w="0" w:type="dxa"/>
            <w:left w:w="108" w:type="dxa"/>
            <w:bottom w:w="0" w:type="dxa"/>
            <w:right w:w="108" w:type="dxa"/>
          </w:tblCellMar>
        </w:tblPrEx>
        <w:trPr>
          <w:trHeight w:val="688" w:hRule="atLeast"/>
        </w:trPr>
        <w:tc>
          <w:tcPr>
            <w:tcW w:w="1725" w:type="dxa"/>
            <w:tcBorders>
              <w:top w:val="single" w:color="auto" w:sz="6" w:space="0"/>
              <w:left w:val="single" w:color="000000"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响应情况</w:t>
            </w:r>
          </w:p>
        </w:tc>
        <w:tc>
          <w:tcPr>
            <w:tcW w:w="845"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6分</w:t>
            </w:r>
          </w:p>
        </w:tc>
        <w:tc>
          <w:tcPr>
            <w:tcW w:w="6668"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所投产品技术参数完全符合招标文件要求且没有负偏离的得6分，每有一项负偏离或缺项扣1分，扣完为止；</w:t>
            </w:r>
          </w:p>
        </w:tc>
      </w:tr>
      <w:tr>
        <w:tblPrEx>
          <w:tblCellMar>
            <w:top w:w="0" w:type="dxa"/>
            <w:left w:w="108" w:type="dxa"/>
            <w:bottom w:w="0" w:type="dxa"/>
            <w:right w:w="108" w:type="dxa"/>
          </w:tblCellMar>
        </w:tblPrEx>
        <w:trPr>
          <w:trHeight w:val="3295" w:hRule="atLeast"/>
        </w:trPr>
        <w:tc>
          <w:tcPr>
            <w:tcW w:w="1725" w:type="dxa"/>
            <w:tcBorders>
              <w:top w:val="single" w:color="auto" w:sz="6" w:space="0"/>
              <w:left w:val="single" w:color="000000"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检测报告</w:t>
            </w:r>
          </w:p>
        </w:tc>
        <w:tc>
          <w:tcPr>
            <w:tcW w:w="845"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14分</w:t>
            </w:r>
          </w:p>
        </w:tc>
        <w:tc>
          <w:tcPr>
            <w:tcW w:w="6668"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adjustRightInd w:val="0"/>
              <w:snapToGrid w:val="0"/>
              <w:spacing w:line="320" w:lineRule="exact"/>
              <w:jc w:val="left"/>
              <w:rPr>
                <w:rFonts w:ascii="仿宋_GB2312" w:hAnsi="仿宋_GB2312" w:eastAsia="仿宋_GB2312" w:cs="仿宋_GB2312"/>
                <w:b/>
                <w:bCs/>
                <w:color w:val="auto"/>
                <w:sz w:val="24"/>
                <w:szCs w:val="24"/>
                <w:highlight w:val="none"/>
              </w:rPr>
            </w:pPr>
            <w:r>
              <w:rPr>
                <w:rFonts w:hint="eastAsia" w:ascii="仿宋_GB2312" w:hAnsi="仿宋_GB2312" w:eastAsia="仿宋_GB2312" w:cs="仿宋_GB2312"/>
                <w:color w:val="auto"/>
                <w:sz w:val="24"/>
                <w:szCs w:val="24"/>
                <w:highlight w:val="none"/>
              </w:rPr>
              <w:t xml:space="preserve">   </w:t>
            </w:r>
            <w:r>
              <w:rPr>
                <w:rFonts w:hint="eastAsia"/>
                <w:lang w:val="en-US" w:eastAsia="zh-CN"/>
              </w:rPr>
              <w:t xml:space="preserve"> </w:t>
            </w:r>
            <w:r>
              <w:rPr>
                <w:rFonts w:hint="eastAsia" w:ascii="仿宋_GB2312" w:hAnsi="仿宋_GB2312" w:eastAsia="仿宋_GB2312" w:cs="仿宋_GB2312"/>
                <w:color w:val="auto"/>
                <w:sz w:val="24"/>
                <w:szCs w:val="24"/>
                <w:highlight w:val="none"/>
              </w:rPr>
              <w:t>提供自2020年1月1日以来家具成品及原材料检测报告，检测内容包括但不限于以下内容：柜类强度和耐久性、柜类稳定性、金属喷漆（塑）涂层-硬度、金属喷漆（塑）涂层-冲击强度、金属喷漆（塑）涂层-耐腐蚀、金属喷漆（塑）涂层-附着力、化学成分，每提供一项得 2分，最高得 14分。开标时提供有效期内的合格的检测报告电子文档（检测报告须带有CMA 和CNAS标志），否则不予计分</w:t>
            </w:r>
          </w:p>
        </w:tc>
      </w:tr>
      <w:tr>
        <w:tblPrEx>
          <w:tblCellMar>
            <w:top w:w="0" w:type="dxa"/>
            <w:left w:w="108" w:type="dxa"/>
            <w:bottom w:w="0" w:type="dxa"/>
            <w:right w:w="108" w:type="dxa"/>
          </w:tblCellMar>
        </w:tblPrEx>
        <w:trPr>
          <w:trHeight w:val="2145" w:hRule="atLeast"/>
        </w:trPr>
        <w:tc>
          <w:tcPr>
            <w:tcW w:w="1725" w:type="dxa"/>
            <w:tcBorders>
              <w:top w:val="single" w:color="auto" w:sz="6" w:space="0"/>
              <w:left w:val="single" w:color="000000"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Style w:val="25"/>
                <w:rFonts w:ascii="仿宋_GB2312" w:hAnsi="仿宋_GB2312" w:eastAsia="仿宋_GB2312" w:cs="仿宋_GB2312"/>
                <w:color w:val="auto"/>
                <w:sz w:val="24"/>
                <w:szCs w:val="24"/>
                <w:highlight w:val="none"/>
              </w:rPr>
            </w:pPr>
            <w:r>
              <w:rPr>
                <w:rStyle w:val="25"/>
                <w:rFonts w:hint="eastAsia" w:ascii="仿宋_GB2312" w:hAnsi="仿宋_GB2312" w:eastAsia="仿宋_GB2312" w:cs="仿宋_GB2312"/>
                <w:color w:val="auto"/>
                <w:sz w:val="24"/>
                <w:szCs w:val="24"/>
                <w:highlight w:val="none"/>
              </w:rPr>
              <w:t>生产能力</w:t>
            </w:r>
          </w:p>
        </w:tc>
        <w:tc>
          <w:tcPr>
            <w:tcW w:w="845"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Style w:val="25"/>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8分</w:t>
            </w:r>
          </w:p>
        </w:tc>
        <w:tc>
          <w:tcPr>
            <w:tcW w:w="6668"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具有的家具生产设备，包含但不限于数控激光切割机、数控冲床、焊接机器、数控折弯机、全自动静电喷塑生产线、数控加工中心、电脑裁板锯、自动封边机、酸洗及磷化生产等设备，每提供一种得1分，最高得8分，需提供购置发票及设备场地照片电子文档。</w:t>
            </w:r>
            <w:r>
              <w:rPr>
                <w:rFonts w:hint="eastAsia" w:ascii="仿宋_GB2312" w:hAnsi="仿宋_GB2312" w:eastAsia="仿宋_GB2312" w:cs="仿宋_GB2312"/>
                <w:b/>
                <w:color w:val="auto"/>
                <w:sz w:val="24"/>
                <w:szCs w:val="24"/>
                <w:highlight w:val="none"/>
              </w:rPr>
              <w:t>（中标后采购方进行实地考察如发现提供虚假资料按废标处理）</w:t>
            </w:r>
          </w:p>
        </w:tc>
      </w:tr>
      <w:tr>
        <w:tblPrEx>
          <w:tblCellMar>
            <w:top w:w="0" w:type="dxa"/>
            <w:left w:w="108" w:type="dxa"/>
            <w:bottom w:w="0" w:type="dxa"/>
            <w:right w:w="108" w:type="dxa"/>
          </w:tblCellMar>
        </w:tblPrEx>
        <w:trPr>
          <w:trHeight w:val="1271" w:hRule="atLeast"/>
        </w:trPr>
        <w:tc>
          <w:tcPr>
            <w:tcW w:w="1725" w:type="dxa"/>
            <w:tcBorders>
              <w:top w:val="single" w:color="auto" w:sz="6" w:space="0"/>
              <w:left w:val="single" w:color="000000"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生产实施方案</w:t>
            </w:r>
          </w:p>
        </w:tc>
        <w:tc>
          <w:tcPr>
            <w:tcW w:w="845"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6分</w:t>
            </w:r>
          </w:p>
        </w:tc>
        <w:tc>
          <w:tcPr>
            <w:tcW w:w="6668"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jc w:val="left"/>
              <w:rPr>
                <w:rFonts w:ascii="仿宋_GB2312" w:hAnsi="仿宋_GB2312" w:eastAsia="仿宋_GB2312" w:cs="仿宋_GB2312"/>
                <w:b/>
                <w:color w:val="auto"/>
                <w:sz w:val="24"/>
                <w:szCs w:val="24"/>
                <w:highlight w:val="none"/>
              </w:rPr>
            </w:pPr>
            <w:r>
              <w:rPr>
                <w:rFonts w:hint="eastAsia" w:ascii="仿宋_GB2312" w:hAnsi="仿宋" w:eastAsia="仿宋_GB2312"/>
                <w:color w:val="auto"/>
                <w:sz w:val="24"/>
                <w:szCs w:val="24"/>
                <w:highlight w:val="none"/>
              </w:rPr>
              <w:t xml:space="preserve">    根据投标人提供的生产实施方案、产品质量控制方案、技术人员配备情况进行评审，以上评审因素每少一项减</w:t>
            </w:r>
            <w:r>
              <w:rPr>
                <w:rFonts w:hint="eastAsia" w:ascii="仿宋_GB2312" w:hAnsi="仿宋" w:eastAsia="仿宋_GB2312"/>
                <w:color w:val="auto"/>
                <w:sz w:val="24"/>
                <w:szCs w:val="24"/>
                <w:highlight w:val="none"/>
                <w:lang w:val="en-US" w:eastAsia="zh-CN"/>
              </w:rPr>
              <w:t>2</w:t>
            </w:r>
            <w:r>
              <w:rPr>
                <w:rFonts w:hint="eastAsia" w:ascii="仿宋_GB2312" w:hAnsi="仿宋" w:eastAsia="仿宋_GB2312"/>
                <w:color w:val="auto"/>
                <w:sz w:val="24"/>
                <w:szCs w:val="24"/>
                <w:highlight w:val="none"/>
              </w:rPr>
              <w:t>分，减完为止。</w:t>
            </w:r>
          </w:p>
        </w:tc>
      </w:tr>
      <w:tr>
        <w:tblPrEx>
          <w:tblCellMar>
            <w:top w:w="0" w:type="dxa"/>
            <w:left w:w="108" w:type="dxa"/>
            <w:bottom w:w="0" w:type="dxa"/>
            <w:right w:w="108" w:type="dxa"/>
          </w:tblCellMar>
        </w:tblPrEx>
        <w:trPr>
          <w:trHeight w:val="2363" w:hRule="atLeast"/>
        </w:trPr>
        <w:tc>
          <w:tcPr>
            <w:tcW w:w="1725" w:type="dxa"/>
            <w:tcBorders>
              <w:top w:val="single" w:color="auto" w:sz="6" w:space="0"/>
              <w:left w:val="single" w:color="000000"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安装实施方案</w:t>
            </w:r>
          </w:p>
        </w:tc>
        <w:tc>
          <w:tcPr>
            <w:tcW w:w="845"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6分</w:t>
            </w:r>
          </w:p>
        </w:tc>
        <w:tc>
          <w:tcPr>
            <w:tcW w:w="6668"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jc w:val="lef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评价各投标人的安装服务实施方案、安装交付时间等：</w:t>
            </w:r>
          </w:p>
          <w:p>
            <w:pPr>
              <w:adjustRightInd w:val="0"/>
              <w:snapToGrid w:val="0"/>
              <w:spacing w:line="320" w:lineRule="exact"/>
              <w:jc w:val="lef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1.有产品安装服务实施方案，安装交付时间有承诺，有送货安装人员安排，有如期完成安装交付的保证措施，得6分；</w:t>
            </w:r>
          </w:p>
          <w:p>
            <w:pPr>
              <w:adjustRightInd w:val="0"/>
              <w:snapToGrid w:val="0"/>
              <w:spacing w:line="320" w:lineRule="exact"/>
              <w:jc w:val="lef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2.产品安装服务实施方案有安装交付时间，有承诺送货安装人员安排，得4分；</w:t>
            </w:r>
          </w:p>
          <w:p>
            <w:pPr>
              <w:adjustRightInd w:val="0"/>
              <w:snapToGrid w:val="0"/>
              <w:spacing w:line="320" w:lineRule="exact"/>
              <w:jc w:val="lef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3.无安装交付承诺，或无安装交付保证的，得1分。</w:t>
            </w:r>
          </w:p>
        </w:tc>
      </w:tr>
      <w:tr>
        <w:tblPrEx>
          <w:tblCellMar>
            <w:top w:w="0" w:type="dxa"/>
            <w:left w:w="108" w:type="dxa"/>
            <w:bottom w:w="0" w:type="dxa"/>
            <w:right w:w="108" w:type="dxa"/>
          </w:tblCellMar>
        </w:tblPrEx>
        <w:trPr>
          <w:trHeight w:val="3603" w:hRule="atLeast"/>
        </w:trPr>
        <w:tc>
          <w:tcPr>
            <w:tcW w:w="1725" w:type="dxa"/>
            <w:tcBorders>
              <w:top w:val="single" w:color="auto" w:sz="6" w:space="0"/>
              <w:left w:val="single" w:color="000000"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产品设计方案</w:t>
            </w:r>
          </w:p>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p>
        </w:tc>
        <w:tc>
          <w:tcPr>
            <w:tcW w:w="845"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Style w:val="25"/>
                <w:rFonts w:hint="eastAsia" w:ascii="仿宋_GB2312" w:hAnsi="仿宋_GB2312" w:eastAsia="仿宋_GB2312" w:cs="仿宋_GB2312"/>
                <w:color w:val="auto"/>
                <w:sz w:val="24"/>
                <w:szCs w:val="24"/>
                <w:highlight w:val="none"/>
              </w:rPr>
              <w:t>6分</w:t>
            </w:r>
          </w:p>
        </w:tc>
        <w:tc>
          <w:tcPr>
            <w:tcW w:w="6668"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adjustRightInd w:val="0"/>
              <w:snapToGrid w:val="0"/>
              <w:spacing w:line="320" w:lineRule="exac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须提供产品设计图纸,根据投标人提供的产品设计图纸的情况进行打分：</w:t>
            </w:r>
          </w:p>
          <w:p>
            <w:pPr>
              <w:adjustRightInd w:val="0"/>
              <w:snapToGrid w:val="0"/>
              <w:spacing w:line="320" w:lineRule="exac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1.全部产品均有设计图与产品效果图，设计图标准、规范，设计要素完整明确，设计完全满足技术需求，得6分；</w:t>
            </w:r>
          </w:p>
          <w:p>
            <w:pPr>
              <w:adjustRightInd w:val="0"/>
              <w:snapToGrid w:val="0"/>
              <w:spacing w:line="320" w:lineRule="exac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2.全部产品均有设计图与产品效果图，设计图标准、规范，设计要素完整明确，设计能够反映技术需求，得2分；</w:t>
            </w:r>
          </w:p>
          <w:p>
            <w:pPr>
              <w:adjustRightInd w:val="0"/>
              <w:snapToGrid w:val="0"/>
              <w:spacing w:line="320" w:lineRule="exac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3.全部产品均有设计图与产品效果图，设计图能够反映技术需求，得1分；</w:t>
            </w:r>
          </w:p>
          <w:p>
            <w:pPr>
              <w:adjustRightInd w:val="0"/>
              <w:snapToGrid w:val="0"/>
              <w:spacing w:line="320" w:lineRule="exact"/>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4.产品的设计图、效果图缺失，得0分。</w:t>
            </w:r>
          </w:p>
          <w:p>
            <w:pPr>
              <w:adjustRightInd w:val="0"/>
              <w:snapToGrid w:val="0"/>
              <w:spacing w:line="320" w:lineRule="exact"/>
              <w:jc w:val="left"/>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以上开标时投标人需提供设计图纸电子文档。</w:t>
            </w:r>
          </w:p>
        </w:tc>
      </w:tr>
      <w:tr>
        <w:tblPrEx>
          <w:tblCellMar>
            <w:top w:w="0" w:type="dxa"/>
            <w:left w:w="108" w:type="dxa"/>
            <w:bottom w:w="0" w:type="dxa"/>
            <w:right w:w="108" w:type="dxa"/>
          </w:tblCellMar>
        </w:tblPrEx>
        <w:trPr>
          <w:trHeight w:val="1563" w:hRule="atLeast"/>
        </w:trPr>
        <w:tc>
          <w:tcPr>
            <w:tcW w:w="1725" w:type="dxa"/>
            <w:tcBorders>
              <w:top w:val="single" w:color="auto" w:sz="6" w:space="0"/>
              <w:left w:val="single" w:color="000000" w:sz="6" w:space="0"/>
              <w:bottom w:val="single" w:color="auto" w:sz="6" w:space="0"/>
              <w:right w:val="single" w:color="auto" w:sz="6" w:space="0"/>
            </w:tcBorders>
            <w:tcMar>
              <w:top w:w="100" w:type="dxa"/>
              <w:left w:w="108" w:type="dxa"/>
              <w:bottom w:w="0" w:type="dxa"/>
              <w:right w:w="100" w:type="dxa"/>
            </w:tcMar>
            <w:vAlign w:val="center"/>
          </w:tcPr>
          <w:p>
            <w:pPr>
              <w:widowControl/>
              <w:autoSpaceDE w:val="0"/>
              <w:autoSpaceDN w:val="0"/>
              <w:adjustRightInd w:val="0"/>
              <w:snapToGrid w:val="0"/>
              <w:spacing w:line="320" w:lineRule="exact"/>
              <w:jc w:val="center"/>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售后服务</w:t>
            </w:r>
          </w:p>
        </w:tc>
        <w:tc>
          <w:tcPr>
            <w:tcW w:w="845"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vAlign w:val="center"/>
          </w:tcPr>
          <w:p>
            <w:pPr>
              <w:adjustRightInd w:val="0"/>
              <w:snapToGrid w:val="0"/>
              <w:spacing w:line="320" w:lineRule="exact"/>
              <w:jc w:val="center"/>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6分</w:t>
            </w:r>
          </w:p>
        </w:tc>
        <w:tc>
          <w:tcPr>
            <w:tcW w:w="6668" w:type="dxa"/>
            <w:tcBorders>
              <w:top w:val="single" w:color="auto" w:sz="6" w:space="0"/>
              <w:left w:val="single" w:color="auto" w:sz="6" w:space="0"/>
              <w:bottom w:val="single" w:color="auto" w:sz="6" w:space="0"/>
              <w:right w:val="single" w:color="auto" w:sz="6" w:space="0"/>
            </w:tcBorders>
            <w:tcMar>
              <w:top w:w="100" w:type="dxa"/>
              <w:left w:w="108" w:type="dxa"/>
              <w:bottom w:w="0" w:type="dxa"/>
              <w:right w:w="100" w:type="dxa"/>
            </w:tcMar>
          </w:tcPr>
          <w:p>
            <w:pPr>
              <w:adjustRightInd w:val="0"/>
              <w:snapToGrid w:val="0"/>
              <w:spacing w:line="320" w:lineRule="exact"/>
              <w:ind w:firstLine="240" w:firstLineChars="100"/>
              <w:rPr>
                <w:rFonts w:ascii="仿宋_GB2312" w:hAnsi="仿宋_GB2312" w:eastAsia="仿宋_GB2312" w:cs="仿宋_GB2312"/>
                <w:b/>
                <w:color w:val="auto"/>
                <w:sz w:val="24"/>
                <w:szCs w:val="24"/>
                <w:highlight w:val="none"/>
              </w:rPr>
            </w:pPr>
            <w:r>
              <w:rPr>
                <w:rFonts w:hint="eastAsia" w:ascii="仿宋_GB2312" w:hAnsi="仿宋_GB2312" w:eastAsia="仿宋_GB2312" w:cs="仿宋_GB2312"/>
                <w:color w:val="auto"/>
                <w:sz w:val="24"/>
                <w:szCs w:val="24"/>
                <w:highlight w:val="none"/>
              </w:rPr>
              <w:t xml:space="preserve">  根据投标人的售后响应时间、售后人员体系配备标准、售后服务网点、售后标准职责、备品备件数量齐全等内容进行评分，</w:t>
            </w:r>
            <w:r>
              <w:rPr>
                <w:rFonts w:hint="eastAsia" w:ascii="仿宋_GB2312" w:hAnsi="仿宋" w:eastAsia="仿宋_GB2312"/>
                <w:color w:val="auto"/>
                <w:sz w:val="24"/>
                <w:szCs w:val="24"/>
                <w:highlight w:val="none"/>
              </w:rPr>
              <w:t>每少一项减1</w:t>
            </w:r>
            <w:r>
              <w:rPr>
                <w:rFonts w:hint="eastAsia" w:ascii="仿宋_GB2312" w:hAnsi="仿宋" w:eastAsia="仿宋_GB2312"/>
                <w:color w:val="auto"/>
                <w:sz w:val="24"/>
                <w:szCs w:val="24"/>
                <w:highlight w:val="none"/>
                <w:lang w:val="en-US" w:eastAsia="zh-CN"/>
              </w:rPr>
              <w:t>.2</w:t>
            </w:r>
            <w:r>
              <w:rPr>
                <w:rFonts w:hint="eastAsia" w:ascii="仿宋_GB2312" w:hAnsi="仿宋" w:eastAsia="仿宋_GB2312"/>
                <w:color w:val="auto"/>
                <w:sz w:val="24"/>
                <w:szCs w:val="24"/>
                <w:highlight w:val="none"/>
              </w:rPr>
              <w:t>分</w:t>
            </w:r>
            <w:r>
              <w:rPr>
                <w:rFonts w:hint="eastAsia" w:ascii="仿宋_GB2312" w:hAnsi="仿宋_GB2312" w:eastAsia="仿宋_GB2312" w:cs="仿宋_GB2312"/>
                <w:color w:val="auto"/>
                <w:sz w:val="24"/>
                <w:szCs w:val="24"/>
                <w:highlight w:val="none"/>
              </w:rPr>
              <w:t xml:space="preserve">。 </w:t>
            </w:r>
          </w:p>
        </w:tc>
      </w:tr>
    </w:tbl>
    <w:p>
      <w:pPr>
        <w:ind w:firstLine="640" w:firstLineChars="200"/>
        <w:rPr>
          <w:rFonts w:ascii="宋体" w:hAnsi="宋体" w:cs="仿宋"/>
          <w:sz w:val="28"/>
          <w:szCs w:val="28"/>
          <w:lang w:val="zh-CN"/>
        </w:rPr>
      </w:pPr>
      <w:r>
        <w:rPr>
          <w:rFonts w:hint="eastAsia" w:ascii="黑体" w:hAnsi="Times New Roman" w:eastAsia="黑体"/>
          <w:sz w:val="32"/>
          <w:szCs w:val="32"/>
        </w:rPr>
        <w:t>八、项目联系方式</w:t>
      </w:r>
    </w:p>
    <w:p>
      <w:pPr>
        <w:pStyle w:val="38"/>
        <w:ind w:firstLine="640" w:firstLineChars="200"/>
        <w:rPr>
          <w:rFonts w:ascii="仿宋_GB2312" w:eastAsia="仿宋_GB2312"/>
          <w:sz w:val="32"/>
          <w:szCs w:val="32"/>
        </w:rPr>
      </w:pPr>
      <w:r>
        <w:rPr>
          <w:rFonts w:hint="eastAsia" w:ascii="仿宋_GB2312" w:eastAsia="仿宋_GB2312"/>
          <w:sz w:val="32"/>
          <w:szCs w:val="32"/>
        </w:rPr>
        <w:t>1.采购人：</w:t>
      </w:r>
      <w:r>
        <w:rPr>
          <w:rFonts w:ascii="仿宋_GB2312" w:eastAsia="仿宋_GB2312"/>
          <w:sz w:val="32"/>
          <w:szCs w:val="32"/>
        </w:rPr>
        <w:t>青岛山大齐鲁医院</w:t>
      </w:r>
    </w:p>
    <w:p>
      <w:pPr>
        <w:pStyle w:val="38"/>
        <w:ind w:firstLine="640" w:firstLineChars="200"/>
        <w:rPr>
          <w:rFonts w:ascii="仿宋_GB2312" w:eastAsia="仿宋_GB2312"/>
          <w:sz w:val="32"/>
          <w:szCs w:val="32"/>
        </w:rPr>
      </w:pPr>
      <w:r>
        <w:rPr>
          <w:rFonts w:hint="eastAsia" w:ascii="仿宋_GB2312" w:eastAsia="仿宋_GB2312"/>
          <w:sz w:val="32"/>
          <w:szCs w:val="32"/>
        </w:rPr>
        <w:t>地址：青岛市市北区合肥路758号</w:t>
      </w:r>
      <w:r>
        <w:rPr>
          <w:rFonts w:ascii="仿宋_GB2312" w:eastAsia="仿宋_GB2312"/>
          <w:sz w:val="32"/>
          <w:szCs w:val="32"/>
        </w:rPr>
        <w:t xml:space="preserve"> </w:t>
      </w:r>
    </w:p>
    <w:p>
      <w:pPr>
        <w:pStyle w:val="38"/>
        <w:ind w:firstLine="640" w:firstLineChars="200"/>
        <w:rPr>
          <w:rFonts w:ascii="仿宋_GB2312" w:eastAsia="仿宋_GB2312"/>
          <w:sz w:val="32"/>
          <w:szCs w:val="32"/>
        </w:rPr>
      </w:pPr>
      <w:r>
        <w:rPr>
          <w:rFonts w:hint="eastAsia" w:ascii="仿宋_GB2312" w:eastAsia="仿宋_GB2312"/>
          <w:sz w:val="32"/>
          <w:szCs w:val="32"/>
        </w:rPr>
        <w:t>联系方式：0532-66850507；0532-66850508</w:t>
      </w:r>
    </w:p>
    <w:p>
      <w:pPr>
        <w:pStyle w:val="38"/>
        <w:ind w:firstLine="640" w:firstLineChars="200"/>
        <w:rPr>
          <w:rFonts w:ascii="仿宋_GB2312" w:eastAsia="仿宋_GB2312"/>
          <w:sz w:val="32"/>
          <w:szCs w:val="32"/>
        </w:rPr>
      </w:pPr>
      <w:r>
        <w:rPr>
          <w:rFonts w:hint="eastAsia" w:ascii="仿宋_GB2312" w:eastAsia="仿宋_GB2312"/>
          <w:sz w:val="32"/>
          <w:szCs w:val="32"/>
        </w:rPr>
        <w:t>2.采购代理机构：青岛市政务服务和公共资源交易中心</w:t>
      </w:r>
    </w:p>
    <w:p>
      <w:pPr>
        <w:pStyle w:val="38"/>
        <w:ind w:firstLine="640" w:firstLineChars="200"/>
        <w:rPr>
          <w:rFonts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val="en-US" w:eastAsia="zh-CN"/>
        </w:rPr>
        <w:t>阎</w:t>
      </w:r>
      <w:r>
        <w:rPr>
          <w:rFonts w:hint="eastAsia" w:ascii="仿宋_GB2312" w:eastAsia="仿宋_GB2312"/>
          <w:sz w:val="32"/>
          <w:szCs w:val="32"/>
        </w:rPr>
        <w:t>工</w:t>
      </w:r>
    </w:p>
    <w:p>
      <w:pPr>
        <w:pStyle w:val="38"/>
        <w:ind w:firstLine="640" w:firstLineChars="200"/>
        <w:rPr>
          <w:rFonts w:hint="default" w:ascii="仿宋_GB2312" w:eastAsia="仿宋_GB2312"/>
          <w:sz w:val="32"/>
          <w:szCs w:val="32"/>
          <w:lang w:val="en-US" w:eastAsia="zh-CN"/>
        </w:rPr>
      </w:pPr>
      <w:r>
        <w:rPr>
          <w:rFonts w:hint="eastAsia" w:ascii="仿宋_GB2312" w:eastAsia="仿宋_GB2312"/>
          <w:sz w:val="32"/>
          <w:szCs w:val="32"/>
        </w:rPr>
        <w:t>电话： 0532-662098</w:t>
      </w:r>
      <w:r>
        <w:rPr>
          <w:rFonts w:hint="eastAsia" w:ascii="仿宋_GB2312" w:eastAsia="仿宋_GB2312"/>
          <w:sz w:val="32"/>
          <w:szCs w:val="32"/>
          <w:lang w:val="en-US" w:eastAsia="zh-CN"/>
        </w:rPr>
        <w:t>29</w:t>
      </w:r>
    </w:p>
    <w:p>
      <w:pPr>
        <w:pStyle w:val="38"/>
        <w:ind w:firstLine="640" w:firstLineChars="200"/>
        <w:rPr>
          <w:rFonts w:hint="eastAsia" w:ascii="仿宋_GB2312" w:eastAsia="仿宋_GB2312"/>
          <w:sz w:val="32"/>
          <w:szCs w:val="32"/>
        </w:rPr>
      </w:pPr>
      <w:r>
        <w:rPr>
          <w:rFonts w:hint="eastAsia" w:ascii="仿宋_GB2312" w:eastAsia="仿宋_GB2312"/>
          <w:sz w:val="32"/>
          <w:szCs w:val="32"/>
        </w:rPr>
        <w:t>地址：青岛市市南区福州南路27号市民中心</w:t>
      </w:r>
    </w:p>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征求意见时间自</w:t>
      </w:r>
      <w:r>
        <w:rPr>
          <w:rFonts w:hint="eastAsia" w:ascii="仿宋_GB2312" w:hAnsi="宋体" w:eastAsia="仿宋_GB2312"/>
          <w:sz w:val="32"/>
          <w:szCs w:val="32"/>
          <w:u w:val="single"/>
        </w:rPr>
        <w:t>202</w:t>
      </w:r>
      <w:r>
        <w:rPr>
          <w:rFonts w:hint="eastAsia" w:ascii="仿宋_GB2312" w:hAnsi="宋体" w:eastAsia="仿宋_GB2312"/>
          <w:sz w:val="32"/>
          <w:szCs w:val="32"/>
          <w:u w:val="single"/>
          <w:lang w:val="en-US" w:eastAsia="zh-CN"/>
        </w:rPr>
        <w:t>3</w:t>
      </w:r>
      <w:r>
        <w:rPr>
          <w:rFonts w:hint="eastAsia" w:ascii="仿宋_GB2312"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11</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eastAsia="仿宋_GB2312"/>
          <w:sz w:val="32"/>
          <w:szCs w:val="32"/>
        </w:rPr>
        <w:t>日至</w:t>
      </w:r>
      <w:r>
        <w:rPr>
          <w:rFonts w:hint="eastAsia" w:ascii="仿宋_GB2312" w:hAnsi="宋体" w:eastAsia="仿宋_GB2312"/>
          <w:sz w:val="32"/>
          <w:szCs w:val="32"/>
          <w:u w:val="single"/>
        </w:rPr>
        <w:t xml:space="preserve"> 202</w:t>
      </w:r>
      <w:r>
        <w:rPr>
          <w:rFonts w:hint="eastAsia" w:ascii="仿宋_GB2312" w:hAnsi="宋体" w:eastAsia="仿宋_GB2312"/>
          <w:sz w:val="32"/>
          <w:szCs w:val="32"/>
          <w:u w:val="single"/>
          <w:lang w:val="en-US" w:eastAsia="zh-CN"/>
        </w:rPr>
        <w:t>3</w:t>
      </w:r>
      <w:r>
        <w:rPr>
          <w:rFonts w:hint="eastAsia" w:ascii="仿宋_GB2312" w:hAnsi="宋体" w:eastAsia="仿宋_GB2312"/>
          <w:sz w:val="32"/>
          <w:szCs w:val="32"/>
          <w:u w:val="single"/>
        </w:rPr>
        <w:t xml:space="preserve"> </w:t>
      </w:r>
      <w:r>
        <w:rPr>
          <w:rFonts w:hint="eastAsia" w:ascii="仿宋_GB2312" w:eastAsia="仿宋_GB2312"/>
          <w:sz w:val="32"/>
          <w:szCs w:val="32"/>
        </w:rPr>
        <w:t>年</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11</w:t>
      </w:r>
      <w:r>
        <w:rPr>
          <w:rFonts w:hint="eastAsia" w:ascii="仿宋_GB2312" w:hAnsi="宋体"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bookmarkStart w:id="0" w:name="_GoBack"/>
      <w:bookmarkEnd w:id="0"/>
    </w:p>
    <w:p>
      <w:pPr>
        <w:pStyle w:val="5"/>
      </w:pPr>
    </w:p>
    <w:p>
      <w:pPr>
        <w:pStyle w:val="11"/>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13897"/>
    </w:sdtPr>
    <w:sdtContent>
      <w:p>
        <w:pPr>
          <w:pStyle w:val="9"/>
          <w:jc w:val="center"/>
        </w:pPr>
        <w:r>
          <w:fldChar w:fldCharType="begin"/>
        </w:r>
        <w:r>
          <w:instrText xml:space="preserve"> PAGE   \* MERGEFORMAT </w:instrText>
        </w:r>
        <w:r>
          <w:fldChar w:fldCharType="separate"/>
        </w:r>
        <w:r>
          <w:rPr>
            <w:lang w:val="zh-CN"/>
          </w:rPr>
          <w:t>19</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32CC46"/>
    <w:multiLevelType w:val="singleLevel"/>
    <w:tmpl w:val="9132CC46"/>
    <w:lvl w:ilvl="0" w:tentative="0">
      <w:start w:val="1"/>
      <w:numFmt w:val="chineseCounting"/>
      <w:suff w:val="nothing"/>
      <w:lvlText w:val="%1、"/>
      <w:lvlJc w:val="left"/>
      <w:rPr>
        <w:rFonts w:hint="eastAsia"/>
      </w:rPr>
    </w:lvl>
  </w:abstractNum>
  <w:abstractNum w:abstractNumId="1">
    <w:nsid w:val="953F234E"/>
    <w:multiLevelType w:val="singleLevel"/>
    <w:tmpl w:val="953F234E"/>
    <w:lvl w:ilvl="0" w:tentative="0">
      <w:start w:val="1"/>
      <w:numFmt w:val="decimal"/>
      <w:lvlText w:val="%1."/>
      <w:lvlJc w:val="left"/>
      <w:pPr>
        <w:tabs>
          <w:tab w:val="left" w:pos="312"/>
        </w:tabs>
      </w:pPr>
    </w:lvl>
  </w:abstractNum>
  <w:abstractNum w:abstractNumId="2">
    <w:nsid w:val="DCCD1712"/>
    <w:multiLevelType w:val="singleLevel"/>
    <w:tmpl w:val="DCCD1712"/>
    <w:lvl w:ilvl="0" w:tentative="0">
      <w:start w:val="1"/>
      <w:numFmt w:val="chineseCounting"/>
      <w:suff w:val="nothing"/>
      <w:lvlText w:val="%1、"/>
      <w:lvlJc w:val="left"/>
      <w:rPr>
        <w:rFonts w:hint="eastAsia"/>
      </w:rPr>
    </w:lvl>
  </w:abstractNum>
  <w:abstractNum w:abstractNumId="3">
    <w:nsid w:val="1489D4A4"/>
    <w:multiLevelType w:val="singleLevel"/>
    <w:tmpl w:val="1489D4A4"/>
    <w:lvl w:ilvl="0" w:tentative="0">
      <w:start w:val="2"/>
      <w:numFmt w:val="chineseCounting"/>
      <w:suff w:val="nothing"/>
      <w:lvlText w:val="%1、"/>
      <w:lvlJc w:val="left"/>
      <w:pPr>
        <w:ind w:left="800" w:firstLine="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ZjJhMWUwZWE2OGRkMDMyMjJhZjVhMWNhNTEzNzcifQ=="/>
  </w:docVars>
  <w:rsids>
    <w:rsidRoot w:val="004E43FE"/>
    <w:rsid w:val="00000E3B"/>
    <w:rsid w:val="000022D5"/>
    <w:rsid w:val="0000360D"/>
    <w:rsid w:val="00005C50"/>
    <w:rsid w:val="00006103"/>
    <w:rsid w:val="00012C67"/>
    <w:rsid w:val="00016CC1"/>
    <w:rsid w:val="0002170B"/>
    <w:rsid w:val="0002218E"/>
    <w:rsid w:val="00024863"/>
    <w:rsid w:val="00030E82"/>
    <w:rsid w:val="00034C17"/>
    <w:rsid w:val="00037AEF"/>
    <w:rsid w:val="00043922"/>
    <w:rsid w:val="0005523F"/>
    <w:rsid w:val="000714D1"/>
    <w:rsid w:val="00074A21"/>
    <w:rsid w:val="00077265"/>
    <w:rsid w:val="00082DA7"/>
    <w:rsid w:val="00091706"/>
    <w:rsid w:val="000A648F"/>
    <w:rsid w:val="000B15BF"/>
    <w:rsid w:val="000B5D8C"/>
    <w:rsid w:val="000B639D"/>
    <w:rsid w:val="000C354B"/>
    <w:rsid w:val="00100119"/>
    <w:rsid w:val="001075A3"/>
    <w:rsid w:val="00107757"/>
    <w:rsid w:val="00110A67"/>
    <w:rsid w:val="00115C2E"/>
    <w:rsid w:val="001232DF"/>
    <w:rsid w:val="0013681C"/>
    <w:rsid w:val="00154186"/>
    <w:rsid w:val="001562D2"/>
    <w:rsid w:val="00166D46"/>
    <w:rsid w:val="001749DF"/>
    <w:rsid w:val="0017688F"/>
    <w:rsid w:val="001827ED"/>
    <w:rsid w:val="00196AA3"/>
    <w:rsid w:val="00197CAB"/>
    <w:rsid w:val="001A665F"/>
    <w:rsid w:val="001B13A8"/>
    <w:rsid w:val="001B4B63"/>
    <w:rsid w:val="001B71B2"/>
    <w:rsid w:val="001C1116"/>
    <w:rsid w:val="001C2BEF"/>
    <w:rsid w:val="001C52A1"/>
    <w:rsid w:val="001E372F"/>
    <w:rsid w:val="001F70B6"/>
    <w:rsid w:val="0020031A"/>
    <w:rsid w:val="0020786D"/>
    <w:rsid w:val="00213E6E"/>
    <w:rsid w:val="00220CB8"/>
    <w:rsid w:val="00223621"/>
    <w:rsid w:val="00224727"/>
    <w:rsid w:val="0022762E"/>
    <w:rsid w:val="0023395B"/>
    <w:rsid w:val="002367B4"/>
    <w:rsid w:val="00250C15"/>
    <w:rsid w:val="002615EB"/>
    <w:rsid w:val="002677A5"/>
    <w:rsid w:val="00270ABC"/>
    <w:rsid w:val="00272724"/>
    <w:rsid w:val="00273E47"/>
    <w:rsid w:val="00277AD0"/>
    <w:rsid w:val="002811AD"/>
    <w:rsid w:val="00283784"/>
    <w:rsid w:val="00284E27"/>
    <w:rsid w:val="00285FFD"/>
    <w:rsid w:val="002907EF"/>
    <w:rsid w:val="00291061"/>
    <w:rsid w:val="002A1516"/>
    <w:rsid w:val="002A25A6"/>
    <w:rsid w:val="002B4258"/>
    <w:rsid w:val="002E5631"/>
    <w:rsid w:val="002F3A8B"/>
    <w:rsid w:val="00311A9B"/>
    <w:rsid w:val="00323F78"/>
    <w:rsid w:val="003263B4"/>
    <w:rsid w:val="0032662F"/>
    <w:rsid w:val="00326C29"/>
    <w:rsid w:val="0033618E"/>
    <w:rsid w:val="003462EA"/>
    <w:rsid w:val="00352779"/>
    <w:rsid w:val="00361116"/>
    <w:rsid w:val="00371883"/>
    <w:rsid w:val="00373123"/>
    <w:rsid w:val="00392452"/>
    <w:rsid w:val="003925C3"/>
    <w:rsid w:val="003A4EA2"/>
    <w:rsid w:val="003A7859"/>
    <w:rsid w:val="003B3064"/>
    <w:rsid w:val="003B474E"/>
    <w:rsid w:val="003B5D4F"/>
    <w:rsid w:val="003C153A"/>
    <w:rsid w:val="003C2339"/>
    <w:rsid w:val="003E6FBF"/>
    <w:rsid w:val="003F1D71"/>
    <w:rsid w:val="003F7C23"/>
    <w:rsid w:val="00400C2C"/>
    <w:rsid w:val="00402DE7"/>
    <w:rsid w:val="004046AB"/>
    <w:rsid w:val="0040650B"/>
    <w:rsid w:val="00406F1E"/>
    <w:rsid w:val="00412D66"/>
    <w:rsid w:val="0041441D"/>
    <w:rsid w:val="0041446D"/>
    <w:rsid w:val="00420E35"/>
    <w:rsid w:val="00422549"/>
    <w:rsid w:val="00426265"/>
    <w:rsid w:val="00433DEF"/>
    <w:rsid w:val="004423A4"/>
    <w:rsid w:val="00450BA0"/>
    <w:rsid w:val="00452E09"/>
    <w:rsid w:val="0045426D"/>
    <w:rsid w:val="00477C49"/>
    <w:rsid w:val="00484C56"/>
    <w:rsid w:val="00493679"/>
    <w:rsid w:val="00494B00"/>
    <w:rsid w:val="004B6A1B"/>
    <w:rsid w:val="004C2E6A"/>
    <w:rsid w:val="004C754B"/>
    <w:rsid w:val="004D432C"/>
    <w:rsid w:val="004D736B"/>
    <w:rsid w:val="004E2035"/>
    <w:rsid w:val="004E43FE"/>
    <w:rsid w:val="004F3D90"/>
    <w:rsid w:val="00503158"/>
    <w:rsid w:val="005066F3"/>
    <w:rsid w:val="00510D44"/>
    <w:rsid w:val="005153B6"/>
    <w:rsid w:val="0052036A"/>
    <w:rsid w:val="005213E2"/>
    <w:rsid w:val="005272FE"/>
    <w:rsid w:val="00543551"/>
    <w:rsid w:val="0054763F"/>
    <w:rsid w:val="0055070A"/>
    <w:rsid w:val="00551226"/>
    <w:rsid w:val="00551731"/>
    <w:rsid w:val="005537B1"/>
    <w:rsid w:val="00553D2E"/>
    <w:rsid w:val="0055429A"/>
    <w:rsid w:val="00567B0E"/>
    <w:rsid w:val="005723EE"/>
    <w:rsid w:val="00575D58"/>
    <w:rsid w:val="00592A9D"/>
    <w:rsid w:val="005C2BBC"/>
    <w:rsid w:val="005C4818"/>
    <w:rsid w:val="005C7B67"/>
    <w:rsid w:val="005D3CBB"/>
    <w:rsid w:val="005E2606"/>
    <w:rsid w:val="0060205E"/>
    <w:rsid w:val="00611236"/>
    <w:rsid w:val="0061219C"/>
    <w:rsid w:val="00614134"/>
    <w:rsid w:val="0061611E"/>
    <w:rsid w:val="0062421B"/>
    <w:rsid w:val="00626E0F"/>
    <w:rsid w:val="00627D0E"/>
    <w:rsid w:val="0065179F"/>
    <w:rsid w:val="00656E58"/>
    <w:rsid w:val="00657BDD"/>
    <w:rsid w:val="00666A0D"/>
    <w:rsid w:val="00686EAD"/>
    <w:rsid w:val="006A31ED"/>
    <w:rsid w:val="006A37CF"/>
    <w:rsid w:val="006B6F58"/>
    <w:rsid w:val="006C1DDD"/>
    <w:rsid w:val="006F0FDB"/>
    <w:rsid w:val="006F5D4A"/>
    <w:rsid w:val="00706DC7"/>
    <w:rsid w:val="00707415"/>
    <w:rsid w:val="00707808"/>
    <w:rsid w:val="0071205D"/>
    <w:rsid w:val="0071360E"/>
    <w:rsid w:val="00714852"/>
    <w:rsid w:val="00717C8B"/>
    <w:rsid w:val="007328F1"/>
    <w:rsid w:val="00733897"/>
    <w:rsid w:val="007438A3"/>
    <w:rsid w:val="00745813"/>
    <w:rsid w:val="00752B8D"/>
    <w:rsid w:val="00762BD3"/>
    <w:rsid w:val="007702A2"/>
    <w:rsid w:val="007729B2"/>
    <w:rsid w:val="00783B1E"/>
    <w:rsid w:val="00791412"/>
    <w:rsid w:val="007A1593"/>
    <w:rsid w:val="007A4C38"/>
    <w:rsid w:val="007B28A7"/>
    <w:rsid w:val="007B3FAA"/>
    <w:rsid w:val="007C2F4B"/>
    <w:rsid w:val="007C4E6C"/>
    <w:rsid w:val="007D0713"/>
    <w:rsid w:val="007D32AA"/>
    <w:rsid w:val="007F0318"/>
    <w:rsid w:val="007F65AF"/>
    <w:rsid w:val="00803C5F"/>
    <w:rsid w:val="008063D6"/>
    <w:rsid w:val="00816FB2"/>
    <w:rsid w:val="00824F5C"/>
    <w:rsid w:val="008253EF"/>
    <w:rsid w:val="00826BE8"/>
    <w:rsid w:val="0083230B"/>
    <w:rsid w:val="008326E1"/>
    <w:rsid w:val="00846220"/>
    <w:rsid w:val="00847361"/>
    <w:rsid w:val="00850CE9"/>
    <w:rsid w:val="00857A5A"/>
    <w:rsid w:val="00872304"/>
    <w:rsid w:val="00873654"/>
    <w:rsid w:val="0087546F"/>
    <w:rsid w:val="0089256C"/>
    <w:rsid w:val="0089784D"/>
    <w:rsid w:val="008A07C4"/>
    <w:rsid w:val="008B570D"/>
    <w:rsid w:val="008C2B36"/>
    <w:rsid w:val="008D5726"/>
    <w:rsid w:val="008D5A05"/>
    <w:rsid w:val="008F446E"/>
    <w:rsid w:val="009001EB"/>
    <w:rsid w:val="0090560C"/>
    <w:rsid w:val="00912836"/>
    <w:rsid w:val="009213FC"/>
    <w:rsid w:val="00921D2E"/>
    <w:rsid w:val="0092293E"/>
    <w:rsid w:val="00924AB7"/>
    <w:rsid w:val="00937A38"/>
    <w:rsid w:val="00937EB8"/>
    <w:rsid w:val="00941760"/>
    <w:rsid w:val="00941CC4"/>
    <w:rsid w:val="009477A6"/>
    <w:rsid w:val="00953CAC"/>
    <w:rsid w:val="00956F9E"/>
    <w:rsid w:val="009621B6"/>
    <w:rsid w:val="009641A7"/>
    <w:rsid w:val="00967C71"/>
    <w:rsid w:val="00967C90"/>
    <w:rsid w:val="00983683"/>
    <w:rsid w:val="00996784"/>
    <w:rsid w:val="00997FF2"/>
    <w:rsid w:val="009A1DB2"/>
    <w:rsid w:val="009B0B28"/>
    <w:rsid w:val="009B30A1"/>
    <w:rsid w:val="009C1BA3"/>
    <w:rsid w:val="009D34B5"/>
    <w:rsid w:val="009E7757"/>
    <w:rsid w:val="009F746D"/>
    <w:rsid w:val="00A05CD8"/>
    <w:rsid w:val="00A11DA2"/>
    <w:rsid w:val="00A20210"/>
    <w:rsid w:val="00A25BD5"/>
    <w:rsid w:val="00A37468"/>
    <w:rsid w:val="00A416FE"/>
    <w:rsid w:val="00A41E15"/>
    <w:rsid w:val="00A44CD5"/>
    <w:rsid w:val="00A4683F"/>
    <w:rsid w:val="00A72E0E"/>
    <w:rsid w:val="00A810A0"/>
    <w:rsid w:val="00A907A8"/>
    <w:rsid w:val="00A911C2"/>
    <w:rsid w:val="00A952EB"/>
    <w:rsid w:val="00AA2031"/>
    <w:rsid w:val="00AB235C"/>
    <w:rsid w:val="00AC06A6"/>
    <w:rsid w:val="00AC552F"/>
    <w:rsid w:val="00AD00D7"/>
    <w:rsid w:val="00AD19DD"/>
    <w:rsid w:val="00AD3033"/>
    <w:rsid w:val="00AE2CF3"/>
    <w:rsid w:val="00AE6A65"/>
    <w:rsid w:val="00AF24A6"/>
    <w:rsid w:val="00AF3257"/>
    <w:rsid w:val="00B00E2C"/>
    <w:rsid w:val="00B061DC"/>
    <w:rsid w:val="00B12D08"/>
    <w:rsid w:val="00B14686"/>
    <w:rsid w:val="00B16AD3"/>
    <w:rsid w:val="00B175A5"/>
    <w:rsid w:val="00B21189"/>
    <w:rsid w:val="00B30980"/>
    <w:rsid w:val="00B34D2E"/>
    <w:rsid w:val="00B34D36"/>
    <w:rsid w:val="00B37753"/>
    <w:rsid w:val="00B408FB"/>
    <w:rsid w:val="00B42B49"/>
    <w:rsid w:val="00B5551B"/>
    <w:rsid w:val="00B56BE0"/>
    <w:rsid w:val="00B60125"/>
    <w:rsid w:val="00B67FEE"/>
    <w:rsid w:val="00B70AF5"/>
    <w:rsid w:val="00B719B1"/>
    <w:rsid w:val="00B71C3E"/>
    <w:rsid w:val="00B76A5C"/>
    <w:rsid w:val="00B85E91"/>
    <w:rsid w:val="00B926DE"/>
    <w:rsid w:val="00BC2E7C"/>
    <w:rsid w:val="00BC3053"/>
    <w:rsid w:val="00BE3A63"/>
    <w:rsid w:val="00BF5BCA"/>
    <w:rsid w:val="00C0283A"/>
    <w:rsid w:val="00C043F5"/>
    <w:rsid w:val="00C045B3"/>
    <w:rsid w:val="00C05059"/>
    <w:rsid w:val="00C0636D"/>
    <w:rsid w:val="00C11F87"/>
    <w:rsid w:val="00C23562"/>
    <w:rsid w:val="00C2745E"/>
    <w:rsid w:val="00C50FC4"/>
    <w:rsid w:val="00C56D4A"/>
    <w:rsid w:val="00C63A19"/>
    <w:rsid w:val="00C7327C"/>
    <w:rsid w:val="00C73AEA"/>
    <w:rsid w:val="00C77569"/>
    <w:rsid w:val="00C91C7A"/>
    <w:rsid w:val="00CA7186"/>
    <w:rsid w:val="00CB3D9A"/>
    <w:rsid w:val="00CC236B"/>
    <w:rsid w:val="00CE272A"/>
    <w:rsid w:val="00CF22C2"/>
    <w:rsid w:val="00CF2E7C"/>
    <w:rsid w:val="00D02497"/>
    <w:rsid w:val="00D02C11"/>
    <w:rsid w:val="00D04079"/>
    <w:rsid w:val="00D05F19"/>
    <w:rsid w:val="00D21790"/>
    <w:rsid w:val="00D21841"/>
    <w:rsid w:val="00D224DA"/>
    <w:rsid w:val="00D42DEE"/>
    <w:rsid w:val="00D44972"/>
    <w:rsid w:val="00D4526C"/>
    <w:rsid w:val="00D47B67"/>
    <w:rsid w:val="00D541F9"/>
    <w:rsid w:val="00D54A85"/>
    <w:rsid w:val="00D54CAA"/>
    <w:rsid w:val="00D71502"/>
    <w:rsid w:val="00D72D9C"/>
    <w:rsid w:val="00D8259B"/>
    <w:rsid w:val="00D84CE6"/>
    <w:rsid w:val="00D85037"/>
    <w:rsid w:val="00DA48E2"/>
    <w:rsid w:val="00DA5968"/>
    <w:rsid w:val="00DC00EA"/>
    <w:rsid w:val="00DC3B19"/>
    <w:rsid w:val="00DC4FC4"/>
    <w:rsid w:val="00DD311D"/>
    <w:rsid w:val="00DD3F95"/>
    <w:rsid w:val="00DE42C0"/>
    <w:rsid w:val="00DF13B7"/>
    <w:rsid w:val="00DF17DE"/>
    <w:rsid w:val="00E0072E"/>
    <w:rsid w:val="00E03336"/>
    <w:rsid w:val="00E03AE9"/>
    <w:rsid w:val="00E0470E"/>
    <w:rsid w:val="00E1365A"/>
    <w:rsid w:val="00E14EAA"/>
    <w:rsid w:val="00E21C04"/>
    <w:rsid w:val="00E220D0"/>
    <w:rsid w:val="00E4199B"/>
    <w:rsid w:val="00E45EE5"/>
    <w:rsid w:val="00E5296A"/>
    <w:rsid w:val="00E71723"/>
    <w:rsid w:val="00E76D04"/>
    <w:rsid w:val="00E928B0"/>
    <w:rsid w:val="00E936B5"/>
    <w:rsid w:val="00EA5789"/>
    <w:rsid w:val="00EA5ACC"/>
    <w:rsid w:val="00EA5F2B"/>
    <w:rsid w:val="00EB10BD"/>
    <w:rsid w:val="00EB1C04"/>
    <w:rsid w:val="00EB4E1C"/>
    <w:rsid w:val="00EB6192"/>
    <w:rsid w:val="00EC0232"/>
    <w:rsid w:val="00EC43E7"/>
    <w:rsid w:val="00ED1C35"/>
    <w:rsid w:val="00EE5D75"/>
    <w:rsid w:val="00EF2331"/>
    <w:rsid w:val="00EF312F"/>
    <w:rsid w:val="00F05EF7"/>
    <w:rsid w:val="00F06BF5"/>
    <w:rsid w:val="00F1414A"/>
    <w:rsid w:val="00F23868"/>
    <w:rsid w:val="00F240D6"/>
    <w:rsid w:val="00F33A7F"/>
    <w:rsid w:val="00F33AE3"/>
    <w:rsid w:val="00F5664F"/>
    <w:rsid w:val="00F60F27"/>
    <w:rsid w:val="00F65341"/>
    <w:rsid w:val="00F84EB4"/>
    <w:rsid w:val="00F86DFE"/>
    <w:rsid w:val="00F906FA"/>
    <w:rsid w:val="00F9257D"/>
    <w:rsid w:val="00FA0EC8"/>
    <w:rsid w:val="00FB2711"/>
    <w:rsid w:val="00FB2CDC"/>
    <w:rsid w:val="00FB3544"/>
    <w:rsid w:val="00FB51AD"/>
    <w:rsid w:val="00FB6352"/>
    <w:rsid w:val="00FD7B70"/>
    <w:rsid w:val="00FE06DD"/>
    <w:rsid w:val="026129B2"/>
    <w:rsid w:val="03C570EA"/>
    <w:rsid w:val="03EB629F"/>
    <w:rsid w:val="041C7E6F"/>
    <w:rsid w:val="04854FCC"/>
    <w:rsid w:val="050635F1"/>
    <w:rsid w:val="06895A14"/>
    <w:rsid w:val="0729334D"/>
    <w:rsid w:val="07A5520D"/>
    <w:rsid w:val="08D63A3F"/>
    <w:rsid w:val="0A1E3055"/>
    <w:rsid w:val="0B7E06F0"/>
    <w:rsid w:val="0BA4241C"/>
    <w:rsid w:val="0BF4653D"/>
    <w:rsid w:val="0D0504FC"/>
    <w:rsid w:val="0E5C414B"/>
    <w:rsid w:val="0ED42736"/>
    <w:rsid w:val="10CF3F1B"/>
    <w:rsid w:val="119A5B25"/>
    <w:rsid w:val="11F62FEF"/>
    <w:rsid w:val="13D41300"/>
    <w:rsid w:val="13E91C62"/>
    <w:rsid w:val="146B3DE0"/>
    <w:rsid w:val="148835E1"/>
    <w:rsid w:val="153E6140"/>
    <w:rsid w:val="15AF15A3"/>
    <w:rsid w:val="168D721F"/>
    <w:rsid w:val="1A451613"/>
    <w:rsid w:val="1AD13155"/>
    <w:rsid w:val="1ADD7949"/>
    <w:rsid w:val="1B2F5A01"/>
    <w:rsid w:val="1C4D3456"/>
    <w:rsid w:val="1D1D719C"/>
    <w:rsid w:val="209A4FEA"/>
    <w:rsid w:val="230721B9"/>
    <w:rsid w:val="2372580D"/>
    <w:rsid w:val="24022671"/>
    <w:rsid w:val="24BB25D0"/>
    <w:rsid w:val="25CD3484"/>
    <w:rsid w:val="262D7C79"/>
    <w:rsid w:val="262E6D63"/>
    <w:rsid w:val="263C0693"/>
    <w:rsid w:val="27093013"/>
    <w:rsid w:val="28281357"/>
    <w:rsid w:val="28743A24"/>
    <w:rsid w:val="29CB7BF1"/>
    <w:rsid w:val="2B1E355F"/>
    <w:rsid w:val="2B774BD8"/>
    <w:rsid w:val="2E812F30"/>
    <w:rsid w:val="309045B9"/>
    <w:rsid w:val="32F77FC0"/>
    <w:rsid w:val="347E284E"/>
    <w:rsid w:val="35431B26"/>
    <w:rsid w:val="362B043E"/>
    <w:rsid w:val="36782CC0"/>
    <w:rsid w:val="39162FC5"/>
    <w:rsid w:val="39170B89"/>
    <w:rsid w:val="3A65162E"/>
    <w:rsid w:val="3AD13648"/>
    <w:rsid w:val="3C1F4F17"/>
    <w:rsid w:val="3E2D5F86"/>
    <w:rsid w:val="40247698"/>
    <w:rsid w:val="41207F86"/>
    <w:rsid w:val="41494151"/>
    <w:rsid w:val="42BE593E"/>
    <w:rsid w:val="42E84066"/>
    <w:rsid w:val="436653F7"/>
    <w:rsid w:val="43714294"/>
    <w:rsid w:val="43AC5144"/>
    <w:rsid w:val="44DD564F"/>
    <w:rsid w:val="483C4909"/>
    <w:rsid w:val="4AC73C5F"/>
    <w:rsid w:val="4B8E2E8F"/>
    <w:rsid w:val="4C66258C"/>
    <w:rsid w:val="4E81288D"/>
    <w:rsid w:val="4FCB3BB5"/>
    <w:rsid w:val="50921332"/>
    <w:rsid w:val="509E5D0C"/>
    <w:rsid w:val="50B63F64"/>
    <w:rsid w:val="5238429D"/>
    <w:rsid w:val="53094215"/>
    <w:rsid w:val="536D4D8C"/>
    <w:rsid w:val="54A274FD"/>
    <w:rsid w:val="554A65CF"/>
    <w:rsid w:val="55A72FAD"/>
    <w:rsid w:val="571C0D77"/>
    <w:rsid w:val="575D20A6"/>
    <w:rsid w:val="5B3A4681"/>
    <w:rsid w:val="5CC9683E"/>
    <w:rsid w:val="5D513680"/>
    <w:rsid w:val="60651FB9"/>
    <w:rsid w:val="626D33A6"/>
    <w:rsid w:val="629628FD"/>
    <w:rsid w:val="629817D1"/>
    <w:rsid w:val="629D051D"/>
    <w:rsid w:val="62C27D0F"/>
    <w:rsid w:val="62E60A34"/>
    <w:rsid w:val="62F91FF2"/>
    <w:rsid w:val="63C41F32"/>
    <w:rsid w:val="63EE1AE4"/>
    <w:rsid w:val="65741277"/>
    <w:rsid w:val="671E233D"/>
    <w:rsid w:val="675B4F7E"/>
    <w:rsid w:val="67B93D6E"/>
    <w:rsid w:val="67D62D87"/>
    <w:rsid w:val="67F7413E"/>
    <w:rsid w:val="67FB209D"/>
    <w:rsid w:val="68C90D13"/>
    <w:rsid w:val="68F2439B"/>
    <w:rsid w:val="69E03A71"/>
    <w:rsid w:val="6AD74A57"/>
    <w:rsid w:val="6B0B19AE"/>
    <w:rsid w:val="6B447698"/>
    <w:rsid w:val="6BA61BFC"/>
    <w:rsid w:val="6E0570BC"/>
    <w:rsid w:val="6EAD55EF"/>
    <w:rsid w:val="6F276F27"/>
    <w:rsid w:val="6FB640BE"/>
    <w:rsid w:val="70673092"/>
    <w:rsid w:val="70D7056F"/>
    <w:rsid w:val="717A33F9"/>
    <w:rsid w:val="7289108F"/>
    <w:rsid w:val="73F75C5B"/>
    <w:rsid w:val="745419BF"/>
    <w:rsid w:val="75FE7254"/>
    <w:rsid w:val="7606677E"/>
    <w:rsid w:val="764B0603"/>
    <w:rsid w:val="767F6765"/>
    <w:rsid w:val="77292511"/>
    <w:rsid w:val="775F4B79"/>
    <w:rsid w:val="77CE6264"/>
    <w:rsid w:val="780D320A"/>
    <w:rsid w:val="789A77F9"/>
    <w:rsid w:val="78B90276"/>
    <w:rsid w:val="79024A65"/>
    <w:rsid w:val="79524B68"/>
    <w:rsid w:val="79A75804"/>
    <w:rsid w:val="79FE60EF"/>
    <w:rsid w:val="7C0C7FC7"/>
    <w:rsid w:val="7CBC51FE"/>
    <w:rsid w:val="7CD10CAA"/>
    <w:rsid w:val="7E8240DE"/>
    <w:rsid w:val="7F5A2D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5"/>
    <w:basedOn w:val="1"/>
    <w:next w:val="1"/>
    <w:link w:val="33"/>
    <w:unhideWhenUsed/>
    <w:qFormat/>
    <w:uiPriority w:val="9"/>
    <w:pPr>
      <w:autoSpaceDE w:val="0"/>
      <w:autoSpaceDN w:val="0"/>
      <w:ind w:left="1839"/>
      <w:jc w:val="left"/>
      <w:outlineLvl w:val="4"/>
    </w:pPr>
    <w:rPr>
      <w:rFonts w:ascii="仿宋" w:hAnsi="仿宋" w:eastAsia="仿宋" w:cs="仿宋"/>
      <w:kern w:val="0"/>
      <w:sz w:val="28"/>
      <w:szCs w:val="28"/>
      <w:lang w:eastAsia="en-US"/>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w:basedOn w:val="1"/>
    <w:link w:val="19"/>
    <w:unhideWhenUsed/>
    <w:qFormat/>
    <w:uiPriority w:val="99"/>
    <w:pPr>
      <w:spacing w:after="120"/>
    </w:pPr>
    <w:rPr>
      <w:rFonts w:ascii="Calibri" w:hAnsi="Calibri" w:eastAsia="宋体" w:cs="Calibri"/>
      <w:kern w:val="0"/>
      <w:sz w:val="20"/>
      <w:szCs w:val="20"/>
    </w:rPr>
  </w:style>
  <w:style w:type="paragraph" w:styleId="6">
    <w:name w:val="Body Text Indent"/>
    <w:basedOn w:val="1"/>
    <w:link w:val="23"/>
    <w:unhideWhenUsed/>
    <w:qFormat/>
    <w:uiPriority w:val="99"/>
    <w:pPr>
      <w:spacing w:after="120"/>
      <w:ind w:left="420" w:leftChars="200"/>
    </w:p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Balloon Text"/>
    <w:basedOn w:val="1"/>
    <w:link w:val="28"/>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cs="Times New Roman"/>
      <w:kern w:val="0"/>
      <w:sz w:val="22"/>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rPr>
  </w:style>
  <w:style w:type="table" w:styleId="14">
    <w:name w:val="Table Grid"/>
    <w:basedOn w:val="1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unhideWhenUsed/>
    <w:qFormat/>
    <w:uiPriority w:val="99"/>
    <w:rPr>
      <w:color w:val="0000FF"/>
      <w:u w:val="single"/>
    </w:rPr>
  </w:style>
  <w:style w:type="character" w:styleId="18">
    <w:name w:val="annotation reference"/>
    <w:basedOn w:val="15"/>
    <w:semiHidden/>
    <w:unhideWhenUsed/>
    <w:qFormat/>
    <w:uiPriority w:val="99"/>
    <w:rPr>
      <w:sz w:val="21"/>
      <w:szCs w:val="21"/>
    </w:rPr>
  </w:style>
  <w:style w:type="character" w:customStyle="1" w:styleId="19">
    <w:name w:val="正文文本 Char"/>
    <w:basedOn w:val="15"/>
    <w:link w:val="5"/>
    <w:qFormat/>
    <w:uiPriority w:val="99"/>
    <w:rPr>
      <w:rFonts w:ascii="Calibri" w:hAnsi="Calibri" w:eastAsia="宋体" w:cs="Calibri"/>
      <w:kern w:val="0"/>
      <w:sz w:val="20"/>
      <w:szCs w:val="20"/>
    </w:rPr>
  </w:style>
  <w:style w:type="paragraph" w:customStyle="1" w:styleId="20">
    <w:name w:val="列出段落1"/>
    <w:basedOn w:val="1"/>
    <w:qFormat/>
    <w:uiPriority w:val="99"/>
    <w:pPr>
      <w:ind w:firstLine="420" w:firstLineChars="200"/>
    </w:pPr>
    <w:rPr>
      <w:rFonts w:ascii="Calibri" w:hAnsi="Calibri" w:eastAsia="宋体" w:cs="Calibri"/>
      <w:szCs w:val="21"/>
    </w:rPr>
  </w:style>
  <w:style w:type="character" w:customStyle="1" w:styleId="21">
    <w:name w:val="页眉 Char"/>
    <w:basedOn w:val="15"/>
    <w:link w:val="10"/>
    <w:qFormat/>
    <w:uiPriority w:val="99"/>
    <w:rPr>
      <w:sz w:val="18"/>
      <w:szCs w:val="18"/>
    </w:rPr>
  </w:style>
  <w:style w:type="character" w:customStyle="1" w:styleId="22">
    <w:name w:val="页脚 Char"/>
    <w:basedOn w:val="15"/>
    <w:link w:val="9"/>
    <w:qFormat/>
    <w:uiPriority w:val="99"/>
    <w:rPr>
      <w:sz w:val="18"/>
      <w:szCs w:val="18"/>
    </w:rPr>
  </w:style>
  <w:style w:type="character" w:customStyle="1" w:styleId="23">
    <w:name w:val="正文文本缩进 Char"/>
    <w:basedOn w:val="15"/>
    <w:link w:val="6"/>
    <w:qFormat/>
    <w:uiPriority w:val="99"/>
  </w:style>
  <w:style w:type="paragraph" w:customStyle="1" w:styleId="24">
    <w:name w:val="正文格式"/>
    <w:basedOn w:val="1"/>
    <w:qFormat/>
    <w:uiPriority w:val="0"/>
    <w:pPr>
      <w:widowControl/>
      <w:adjustRightInd w:val="0"/>
      <w:snapToGrid w:val="0"/>
      <w:spacing w:line="400" w:lineRule="atLeast"/>
      <w:ind w:firstLine="482"/>
    </w:pPr>
    <w:rPr>
      <w:rFonts w:ascii="Calibri" w:hAnsi="Calibri" w:eastAsia="宋体" w:cs="Calibri"/>
      <w:kern w:val="0"/>
      <w:sz w:val="24"/>
      <w:szCs w:val="21"/>
    </w:rPr>
  </w:style>
  <w:style w:type="character" w:customStyle="1" w:styleId="25">
    <w:name w:val="样式 仿宋"/>
    <w:qFormat/>
    <w:uiPriority w:val="0"/>
    <w:rPr>
      <w:rFonts w:ascii="仿宋" w:hAnsi="仿宋" w:eastAsia="仿宋"/>
      <w:kern w:val="1"/>
    </w:rPr>
  </w:style>
  <w:style w:type="table" w:customStyle="1" w:styleId="26">
    <w:name w:val="网格型1"/>
    <w:basedOn w:val="13"/>
    <w:qFormat/>
    <w:uiPriority w:val="39"/>
    <w:rPr>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7">
    <w:name w:val="标题 1 Char"/>
    <w:basedOn w:val="15"/>
    <w:link w:val="2"/>
    <w:qFormat/>
    <w:uiPriority w:val="9"/>
    <w:rPr>
      <w:b/>
      <w:bCs/>
      <w:kern w:val="44"/>
      <w:sz w:val="44"/>
      <w:szCs w:val="44"/>
    </w:rPr>
  </w:style>
  <w:style w:type="character" w:customStyle="1" w:styleId="28">
    <w:name w:val="批注框文本 Char"/>
    <w:basedOn w:val="15"/>
    <w:link w:val="8"/>
    <w:semiHidden/>
    <w:qFormat/>
    <w:uiPriority w:val="99"/>
    <w:rPr>
      <w:kern w:val="2"/>
      <w:sz w:val="18"/>
      <w:szCs w:val="18"/>
    </w:rPr>
  </w:style>
  <w:style w:type="paragraph" w:styleId="29">
    <w:name w:val="List Paragraph"/>
    <w:basedOn w:val="1"/>
    <w:qFormat/>
    <w:uiPriority w:val="34"/>
    <w:pPr>
      <w:ind w:firstLine="420" w:firstLineChars="200"/>
    </w:pPr>
  </w:style>
  <w:style w:type="paragraph" w:customStyle="1" w:styleId="30">
    <w:name w:val="Table Paragraph"/>
    <w:basedOn w:val="1"/>
    <w:qFormat/>
    <w:uiPriority w:val="1"/>
    <w:pPr>
      <w:autoSpaceDE w:val="0"/>
      <w:autoSpaceDN w:val="0"/>
      <w:jc w:val="left"/>
    </w:pPr>
    <w:rPr>
      <w:rFonts w:ascii="仿宋" w:hAnsi="仿宋" w:eastAsia="仿宋" w:cs="仿宋"/>
      <w:kern w:val="0"/>
      <w:sz w:val="22"/>
      <w:lang w:val="zh-CN" w:bidi="zh-CN"/>
    </w:rPr>
  </w:style>
  <w:style w:type="paragraph"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TOC 标题1"/>
    <w:basedOn w:val="2"/>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3">
    <w:name w:val="标题 5 Char"/>
    <w:basedOn w:val="15"/>
    <w:link w:val="3"/>
    <w:qFormat/>
    <w:uiPriority w:val="9"/>
    <w:rPr>
      <w:rFonts w:ascii="仿宋" w:hAnsi="仿宋" w:eastAsia="仿宋" w:cs="仿宋"/>
      <w:sz w:val="28"/>
      <w:szCs w:val="28"/>
      <w:lang w:eastAsia="en-US"/>
    </w:rPr>
  </w:style>
  <w:style w:type="table" w:customStyle="1" w:styleId="34">
    <w:name w:val="Table Normal"/>
    <w:semiHidden/>
    <w:unhideWhenUsed/>
    <w:qFormat/>
    <w:uiPriority w:val="2"/>
    <w:tblPr>
      <w:tblCellMar>
        <w:top w:w="0" w:type="dxa"/>
        <w:left w:w="0" w:type="dxa"/>
        <w:bottom w:w="0" w:type="dxa"/>
        <w:right w:w="0" w:type="dxa"/>
      </w:tblCellMar>
    </w:tblPr>
  </w:style>
  <w:style w:type="character" w:customStyle="1" w:styleId="35">
    <w:name w:val="fontstyle01"/>
    <w:qFormat/>
    <w:uiPriority w:val="0"/>
    <w:rPr>
      <w:rFonts w:hint="default" w:ascii="仿宋" w:hAnsi="仿宋"/>
      <w:color w:val="000000"/>
      <w:sz w:val="24"/>
      <w:szCs w:val="24"/>
    </w:rPr>
  </w:style>
  <w:style w:type="character" w:customStyle="1" w:styleId="36">
    <w:name w:val="font71"/>
    <w:qFormat/>
    <w:uiPriority w:val="0"/>
    <w:rPr>
      <w:rFonts w:hint="eastAsia" w:ascii="宋体" w:hAnsi="宋体" w:eastAsia="宋体" w:cs="宋体"/>
      <w:color w:val="000000"/>
      <w:sz w:val="20"/>
      <w:szCs w:val="20"/>
      <w:u w:val="none"/>
    </w:rPr>
  </w:style>
  <w:style w:type="paragraph" w:customStyle="1" w:styleId="37">
    <w:name w:val="正文文本1"/>
    <w:qFormat/>
    <w:uiPriority w:val="0"/>
    <w:pPr>
      <w:framePr w:wrap="auto" w:vAnchor="margin" w:hAnchor="text" w:y="1"/>
      <w:widowControl w:val="0"/>
    </w:pPr>
    <w:rPr>
      <w:rFonts w:hint="eastAsia" w:ascii="Arial Unicode MS" w:hAnsi="Arial Unicode MS" w:eastAsia="宋体" w:cs="Arial Unicode MS"/>
      <w:color w:val="000000"/>
      <w:sz w:val="32"/>
      <w:szCs w:val="32"/>
      <w:u w:color="000000"/>
      <w:lang w:val="en-US" w:eastAsia="zh-CN" w:bidi="ar-SA"/>
    </w:rPr>
  </w:style>
  <w:style w:type="paragraph" w:customStyle="1" w:styleId="38">
    <w:name w:val="_Style 7"/>
    <w:basedOn w:val="1"/>
    <w:next w:val="1"/>
    <w:qFormat/>
    <w:uiPriority w:val="39"/>
    <w:rPr>
      <w:rFonts w:ascii="Times New Roman" w:hAnsi="Times New Roman" w:eastAsia="宋体" w:cs="Times New Roman"/>
      <w:szCs w:val="24"/>
    </w:rPr>
  </w:style>
  <w:style w:type="character" w:customStyle="1" w:styleId="39">
    <w:name w:val="font51"/>
    <w:basedOn w:val="15"/>
    <w:qFormat/>
    <w:uiPriority w:val="0"/>
    <w:rPr>
      <w:rFonts w:hint="eastAsia" w:ascii="宋体" w:hAnsi="宋体" w:eastAsia="宋体" w:cs="宋体"/>
      <w:b/>
      <w:bCs/>
      <w:color w:val="000000"/>
      <w:sz w:val="22"/>
      <w:szCs w:val="22"/>
      <w:u w:val="none"/>
    </w:rPr>
  </w:style>
  <w:style w:type="character" w:customStyle="1" w:styleId="40">
    <w:name w:val="font0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20</Pages>
  <Words>2032</Words>
  <Characters>11584</Characters>
  <Lines>96</Lines>
  <Paragraphs>27</Paragraphs>
  <TotalTime>1</TotalTime>
  <ScaleCrop>false</ScaleCrop>
  <LinksUpToDate>false</LinksUpToDate>
  <CharactersWithSpaces>13589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2023-10-16T06:35:00Z</dcterms:created>
  <dc:creator>Lenovo</dc:creator>
  <cp:lastModifiedBy>阎华</cp:lastModifiedBy>
  <cp:lastPrinted>2023-11-01T06:40:00Z</cp:lastPrinted>
  <dcterms:modified xsi:type="dcterms:W3CDTF">2023-11-01T07:34:25Z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E69FC7B9289A40F8847FDA071B1C1861_13</vt:lpwstr>
  </property>
</Properties>
</file>