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国家发展改革委办公厅关于进一步做好《必须招标的工程项目规定》和《必须招标的基础设施和公用事业项目范围规定》实施工作的通知</w:t>
      </w:r>
      <w:r>
        <w:rPr>
          <w:rFonts w:hint="eastAsia" w:ascii="宋体" w:hAnsi="宋体" w:eastAsia="宋体" w:cs="宋体"/>
          <w:i w:val="0"/>
          <w:caps w:val="0"/>
          <w:color w:val="333333"/>
          <w:spacing w:val="0"/>
          <w:sz w:val="24"/>
          <w:szCs w:val="24"/>
          <w:shd w:val="clear" w:fill="FFFFFF"/>
        </w:rPr>
        <w:br w:type="textWrapping"/>
      </w:r>
      <w:r>
        <w:rPr>
          <w:rFonts w:ascii="楷体" w:hAnsi="楷体" w:eastAsia="楷体" w:cs="楷体"/>
          <w:i w:val="0"/>
          <w:caps w:val="0"/>
          <w:color w:val="333333"/>
          <w:spacing w:val="0"/>
          <w:sz w:val="24"/>
          <w:szCs w:val="24"/>
          <w:shd w:val="clear" w:fill="FFFFFF"/>
        </w:rPr>
        <w:t>发改办法规〔2020〕770号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各省、自治区、直辖市、新疆生产建设兵团发展改革委、公共资源交易平台整合牵头部门：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为加强政策指导，进一步做好《必须招标的工程项目规定》（国家发展改革委2018年第16号令，以下简称“16号令”）和《必须招标的基础设施和公用事业项目范围规定》（发改法规规〔2018〕843号，以下简称“843号文”）实施工作，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一、准确理解依法必须招标的工程建设项目范围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关于使用国有资金的项目。16号令第二条第（一）项中“预算资金”，是指《预算法》规定的预算资金，包括一般公共预算资金、政府性基金预算资金、国有资本经营预算资金、社会保险基金预算资金。第（二）项中“占控股或者主导地位”，参照《公司法》第二百一十六条关于控股股东和实际控制人的理解执行，即“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国有企业事业单位通过投资关系、协议或者其他安排，能够实际支配项目建设的，也属于占控股或者主导地位。项目中国有资金的比例，应当按照项目资金来源中所有国有资金之和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关于项目与单项采购的关系。16号令第二条至第四条及843号文第二条规定范围的项目，其勘察、设计、施工、监理以及与工程建设有关的重要设备、材料等的单项采购分别达到16号令第五条规定的相应单项合同价估算标准的，该单项采购必须招标；该项目中未达到前述相应标准的单项采购，不属于16号令规定的必须招标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关于招标范围列举事项。依法必须招标的工程建设项目范围和规模标准，应当严格执行《招标投标法》第三条和16号令、843号文规定；法律、行政法规或者国务院对必须进行招标的其他项目范围有规定的，依照其规定。没有法律、行政法规或者国务院规定依据的，对16号令第五条第一款第（三）项中</w:t>
      </w:r>
      <w:r>
        <w:rPr>
          <w:rFonts w:hint="eastAsia" w:ascii="宋体" w:hAnsi="宋体" w:eastAsia="宋体" w:cs="宋体"/>
          <w:i w:val="0"/>
          <w:caps w:val="0"/>
          <w:color w:val="333333"/>
          <w:spacing w:val="0"/>
          <w:sz w:val="24"/>
          <w:szCs w:val="24"/>
          <w:highlight w:val="cyan"/>
          <w:shd w:val="clear" w:fill="FFFFFF"/>
        </w:rPr>
        <w:t>没有明确列举规定的服务事项、843号文第二条中没有明确列举规定的项目</w:t>
      </w:r>
      <w:r>
        <w:rPr>
          <w:rFonts w:hint="eastAsia" w:ascii="宋体" w:hAnsi="宋体" w:eastAsia="宋体" w:cs="宋体"/>
          <w:i w:val="0"/>
          <w:caps w:val="0"/>
          <w:color w:val="333333"/>
          <w:spacing w:val="0"/>
          <w:sz w:val="24"/>
          <w:szCs w:val="24"/>
          <w:shd w:val="clear" w:fill="FFFFFF"/>
        </w:rPr>
        <w:t>，不得强制要求招标。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关于同一项目中的合并采购。16号令第五条规定的“同一项目中可以合并进行的勘察、设计、施工、监理以及与工程建设有关的重要设备、材料等的采购，合同估算价合计达到前款规定标准的，必须招标”，目的是防止发包方通过化整为零方式规避招标。其中“同一项目中可以合并进行”，是指</w:t>
      </w:r>
      <w:r>
        <w:rPr>
          <w:rFonts w:hint="eastAsia" w:ascii="宋体" w:hAnsi="宋体" w:eastAsia="宋体" w:cs="宋体"/>
          <w:i w:val="0"/>
          <w:caps w:val="0"/>
          <w:color w:val="333333"/>
          <w:spacing w:val="0"/>
          <w:sz w:val="24"/>
          <w:szCs w:val="24"/>
          <w:highlight w:val="cyan"/>
          <w:shd w:val="clear" w:fill="FFFFFF"/>
        </w:rPr>
        <w:t>根据项目实际，以及行业标准或行业惯例，符合科学性、经济性、可操作性要求，同一项目中适宜放在一起进行采购的同类采购项目</w:t>
      </w:r>
      <w:r>
        <w:rPr>
          <w:rFonts w:hint="eastAsia" w:ascii="宋体" w:hAnsi="宋体" w:eastAsia="宋体" w:cs="宋体"/>
          <w:i w:val="0"/>
          <w:caps w:val="0"/>
          <w:color w:val="333333"/>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关于总承包招标的规模标准。对于16号令第二条至第四条规定范围内的项目，发包人依法对工程以及与工程建设有关的货物、服务全部或者部分实行总承包发包的，总承包中施工、货物、服务等各部分的估算价中，只要有一项达到16号令第五条规定相应标准，即施工部分估算价达到400万元以上，或者货物部分达到200万元以上，或者服务部分达到100万元以上，则整个总承包发包应当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二、规范规模标准以下工程建设项目的采购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16号令第二条至第四条及843号文第二条规定范围的项目，其施工、货物、服务采购的单项合同估算价未达到16号令第五条规定规模标准的，该单项采购由采购人依法自主选择采购方式，任何单位和个人不得违法干涉；其中，涉及政府采购的，按照政府采购法律法规规定执行。国有企业可以结合实际，建立健全规模标准以下工程建设项目采购制度，推进采购活动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三、严格执行依法必须招标制度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各地方应当严格执行16号令和843号文规定的范围和规模标准，不得另行制定必须进行招标的范围和规模标准，也不得作出与16号令、843号文和本通知相抵触的规定，持续深化招标投标领域“放管服”改革，努力营造良好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国家发展改革委办公厅</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2020年10月</w:t>
      </w:r>
      <w:bookmarkStart w:id="0" w:name="_GoBack"/>
      <w:bookmarkEnd w:id="0"/>
      <w:r>
        <w:rPr>
          <w:rFonts w:hint="eastAsia" w:ascii="宋体" w:hAnsi="宋体" w:eastAsia="宋体" w:cs="宋体"/>
          <w:i w:val="0"/>
          <w:caps w:val="0"/>
          <w:color w:val="333333"/>
          <w:spacing w:val="0"/>
          <w:sz w:val="24"/>
          <w:szCs w:val="24"/>
          <w:shd w:val="clear" w:fill="FFFFFF"/>
        </w:rPr>
        <w:t>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1222E"/>
    <w:rsid w:val="5A410236"/>
    <w:rsid w:val="7C212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2020-12-17T02:33:00Z</dcterms:created>
  <dc:creator>aaa</dc:creator>
  <cp:lastModifiedBy>aaa</cp:lastModifiedBy>
  <dcterms:modified xsi:type="dcterms:W3CDTF">2020-12-17T05:38:09Z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