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2EE2C1">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2.2投标人对两台设备的维保单独报价并汇总</w:t>
      </w:r>
    </w:p>
    <w:p w14:paraId="6FB7CBE8">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2.3 因philips Achieva 1.5T核磁共振设备维修所用液氦市场价格波动较大，结合历史常态价格设定液氦基准单价</w:t>
      </w:r>
      <w:r>
        <w:rPr>
          <w:rFonts w:hint="eastAsia" w:ascii="仿宋" w:hAnsi="仿宋" w:eastAsia="仿宋" w:cs="仿宋"/>
          <w:bCs/>
          <w:sz w:val="24"/>
          <w:highlight w:val="none"/>
          <w:lang w:val="en-US" w:eastAsia="zh-CN"/>
        </w:rPr>
        <w:t>300</w:t>
      </w:r>
      <w:r>
        <w:rPr>
          <w:rFonts w:hint="eastAsia" w:ascii="仿宋" w:hAnsi="仿宋" w:eastAsia="仿宋" w:cs="仿宋"/>
          <w:bCs/>
          <w:sz w:val="24"/>
          <w:highlight w:val="none"/>
        </w:rPr>
        <w:t>元/升。液氦市场实际采购单价高于</w:t>
      </w:r>
      <w:r>
        <w:rPr>
          <w:rFonts w:hint="eastAsia" w:ascii="仿宋" w:hAnsi="仿宋" w:eastAsia="仿宋" w:cs="仿宋"/>
          <w:bCs/>
          <w:sz w:val="24"/>
          <w:highlight w:val="none"/>
          <w:lang w:val="en-US" w:eastAsia="zh-CN"/>
        </w:rPr>
        <w:t>300</w:t>
      </w:r>
      <w:r>
        <w:rPr>
          <w:rFonts w:hint="eastAsia" w:ascii="仿宋" w:hAnsi="仿宋" w:eastAsia="仿宋" w:cs="仿宋"/>
          <w:bCs/>
          <w:sz w:val="24"/>
          <w:highlight w:val="none"/>
        </w:rPr>
        <w:t>元/升的，超出部分由采购人据实另行支付；实际采购单价不高于</w:t>
      </w:r>
      <w:r>
        <w:rPr>
          <w:rFonts w:hint="eastAsia" w:ascii="仿宋" w:hAnsi="仿宋" w:eastAsia="仿宋" w:cs="仿宋"/>
          <w:bCs/>
          <w:sz w:val="24"/>
          <w:highlight w:val="none"/>
          <w:lang w:val="en-US" w:eastAsia="zh-CN"/>
        </w:rPr>
        <w:t>300</w:t>
      </w:r>
      <w:r>
        <w:rPr>
          <w:rFonts w:hint="eastAsia" w:ascii="仿宋" w:hAnsi="仿宋" w:eastAsia="仿宋" w:cs="仿宋"/>
          <w:bCs/>
          <w:sz w:val="24"/>
          <w:highlight w:val="none"/>
        </w:rPr>
        <w:t>元/升的，全部费用由投标人承担。</w:t>
      </w:r>
    </w:p>
    <w:p w14:paraId="4B83709E">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2.4若液氦差价费用超出采购人承受能力，或采购人对核磁共振设备实施报废处置的，采购人有权单独终止本合同项下核磁共振设备维保服务，停止支付该设备维保及相关液氦费用；本合同项下飞利浦DSA设备维保服务继续履行，不受影响，双方互不承担违约责任。</w:t>
      </w:r>
    </w:p>
    <w:p w14:paraId="6901F606">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2.</w:t>
      </w:r>
      <w:r>
        <w:rPr>
          <w:rFonts w:hint="eastAsia" w:ascii="仿宋" w:hAnsi="仿宋" w:eastAsia="仿宋" w:cs="仿宋"/>
          <w:b/>
          <w:sz w:val="24"/>
          <w:highlight w:val="none"/>
          <w:lang w:val="en-US" w:eastAsia="zh-CN"/>
        </w:rPr>
        <w:t>5</w:t>
      </w:r>
      <w:r>
        <w:rPr>
          <w:rFonts w:hint="eastAsia" w:ascii="仿宋" w:hAnsi="仿宋" w:eastAsia="仿宋" w:cs="仿宋"/>
          <w:b/>
          <w:sz w:val="24"/>
          <w:highlight w:val="none"/>
        </w:rPr>
        <w:t xml:space="preserve"> DSA维保服务技术参数   </w:t>
      </w:r>
      <w:r>
        <w:rPr>
          <w:rFonts w:hint="eastAsia" w:ascii="仿宋" w:hAnsi="仿宋" w:eastAsia="仿宋" w:cs="仿宋"/>
          <w:b/>
          <w:sz w:val="24"/>
          <w:highlight w:val="none"/>
        </w:rPr>
        <w:t>最高限价：50万元</w:t>
      </w:r>
    </w:p>
    <w:tbl>
      <w:tblPr>
        <w:tblStyle w:val="2"/>
        <w:tblW w:w="8899" w:type="dxa"/>
        <w:jc w:val="center"/>
        <w:tblLayout w:type="fixed"/>
        <w:tblCellMar>
          <w:top w:w="0" w:type="dxa"/>
          <w:left w:w="108" w:type="dxa"/>
          <w:bottom w:w="0" w:type="dxa"/>
          <w:right w:w="108" w:type="dxa"/>
        </w:tblCellMar>
      </w:tblPr>
      <w:tblGrid>
        <w:gridCol w:w="768"/>
        <w:gridCol w:w="2086"/>
        <w:gridCol w:w="6045"/>
      </w:tblGrid>
      <w:tr w14:paraId="28E3B0B5">
        <w:tblPrEx>
          <w:tblCellMar>
            <w:top w:w="0" w:type="dxa"/>
            <w:left w:w="108" w:type="dxa"/>
            <w:bottom w:w="0" w:type="dxa"/>
            <w:right w:w="108" w:type="dxa"/>
          </w:tblCellMar>
        </w:tblPrEx>
        <w:trPr>
          <w:trHeight w:val="604" w:hRule="atLeast"/>
          <w:jc w:val="center"/>
        </w:trPr>
        <w:tc>
          <w:tcPr>
            <w:tcW w:w="768" w:type="dxa"/>
            <w:tcBorders>
              <w:top w:val="single" w:color="auto" w:sz="8" w:space="0"/>
              <w:left w:val="single" w:color="auto" w:sz="8" w:space="0"/>
              <w:bottom w:val="single" w:color="auto" w:sz="8" w:space="0"/>
              <w:right w:val="single" w:color="auto" w:sz="8" w:space="0"/>
            </w:tcBorders>
            <w:noWrap w:val="0"/>
            <w:vAlign w:val="center"/>
          </w:tcPr>
          <w:p w14:paraId="7A78E85A">
            <w:pPr>
              <w:widowControl/>
              <w:jc w:val="center"/>
              <w:rPr>
                <w:rFonts w:hint="eastAsia" w:ascii="仿宋" w:hAnsi="仿宋" w:eastAsia="仿宋" w:cs="仿宋"/>
                <w:kern w:val="0"/>
                <w:sz w:val="24"/>
                <w:highlight w:val="none"/>
              </w:rPr>
            </w:pPr>
            <w:r>
              <w:rPr>
                <w:rFonts w:hint="eastAsia" w:ascii="仿宋" w:hAnsi="仿宋" w:eastAsia="仿宋" w:cs="仿宋"/>
                <w:b/>
                <w:kern w:val="0"/>
                <w:sz w:val="24"/>
                <w:highlight w:val="none"/>
              </w:rPr>
              <w:t>序号</w:t>
            </w:r>
          </w:p>
        </w:tc>
        <w:tc>
          <w:tcPr>
            <w:tcW w:w="8131" w:type="dxa"/>
            <w:gridSpan w:val="2"/>
            <w:tcBorders>
              <w:top w:val="single" w:color="auto" w:sz="8" w:space="0"/>
              <w:left w:val="nil"/>
              <w:bottom w:val="single" w:color="auto" w:sz="8" w:space="0"/>
              <w:right w:val="single" w:color="auto" w:sz="8" w:space="0"/>
            </w:tcBorders>
            <w:noWrap w:val="0"/>
            <w:vAlign w:val="center"/>
          </w:tcPr>
          <w:p w14:paraId="28316FDA">
            <w:pPr>
              <w:widowControl/>
              <w:jc w:val="center"/>
              <w:rPr>
                <w:rFonts w:hint="eastAsia" w:ascii="仿宋" w:hAnsi="仿宋" w:eastAsia="仿宋" w:cs="仿宋"/>
                <w:kern w:val="0"/>
                <w:sz w:val="24"/>
                <w:highlight w:val="none"/>
              </w:rPr>
            </w:pPr>
            <w:r>
              <w:rPr>
                <w:rFonts w:hint="eastAsia" w:ascii="仿宋" w:hAnsi="仿宋" w:eastAsia="仿宋" w:cs="仿宋"/>
                <w:b/>
                <w:kern w:val="0"/>
                <w:sz w:val="24"/>
                <w:highlight w:val="none"/>
              </w:rPr>
              <w:t>技术参数或要求</w:t>
            </w:r>
          </w:p>
        </w:tc>
      </w:tr>
      <w:tr w14:paraId="398D8E45">
        <w:tblPrEx>
          <w:tblCellMar>
            <w:top w:w="0" w:type="dxa"/>
            <w:left w:w="108" w:type="dxa"/>
            <w:bottom w:w="0" w:type="dxa"/>
            <w:right w:w="108" w:type="dxa"/>
          </w:tblCellMar>
        </w:tblPrEx>
        <w:trPr>
          <w:trHeight w:val="560" w:hRule="atLeast"/>
          <w:jc w:val="center"/>
        </w:trPr>
        <w:tc>
          <w:tcPr>
            <w:tcW w:w="768" w:type="dxa"/>
            <w:tcBorders>
              <w:top w:val="nil"/>
              <w:left w:val="single" w:color="auto" w:sz="8" w:space="0"/>
              <w:bottom w:val="single" w:color="auto" w:sz="8" w:space="0"/>
              <w:right w:val="single" w:color="auto" w:sz="8" w:space="0"/>
            </w:tcBorders>
            <w:noWrap w:val="0"/>
            <w:vAlign w:val="center"/>
          </w:tcPr>
          <w:p w14:paraId="70507276">
            <w:pPr>
              <w:jc w:val="center"/>
              <w:rPr>
                <w:rFonts w:hint="eastAsia" w:ascii="仿宋" w:hAnsi="仿宋" w:eastAsia="仿宋" w:cs="仿宋"/>
                <w:sz w:val="24"/>
                <w:highlight w:val="none"/>
              </w:rPr>
            </w:pPr>
            <w:r>
              <w:rPr>
                <w:rFonts w:hint="eastAsia" w:ascii="仿宋" w:hAnsi="仿宋" w:eastAsia="仿宋" w:cs="仿宋"/>
                <w:sz w:val="24"/>
                <w:highlight w:val="none"/>
              </w:rPr>
              <w:t>★1</w:t>
            </w:r>
          </w:p>
          <w:p w14:paraId="5F32C0F1">
            <w:pPr>
              <w:jc w:val="center"/>
              <w:rPr>
                <w:rFonts w:hint="eastAsia" w:ascii="仿宋" w:hAnsi="仿宋" w:eastAsia="仿宋" w:cs="仿宋"/>
                <w:sz w:val="24"/>
                <w:highlight w:val="none"/>
              </w:rPr>
            </w:pPr>
          </w:p>
        </w:tc>
        <w:tc>
          <w:tcPr>
            <w:tcW w:w="2086" w:type="dxa"/>
            <w:tcBorders>
              <w:top w:val="nil"/>
              <w:left w:val="nil"/>
              <w:bottom w:val="single" w:color="auto" w:sz="8" w:space="0"/>
              <w:right w:val="single" w:color="auto" w:sz="4" w:space="0"/>
            </w:tcBorders>
            <w:noWrap w:val="0"/>
            <w:vAlign w:val="center"/>
          </w:tcPr>
          <w:p w14:paraId="0E92F4D1">
            <w:pPr>
              <w:rPr>
                <w:rFonts w:hint="eastAsia" w:ascii="仿宋" w:hAnsi="仿宋" w:eastAsia="仿宋" w:cs="仿宋"/>
                <w:sz w:val="24"/>
                <w:highlight w:val="none"/>
              </w:rPr>
            </w:pPr>
            <w:r>
              <w:rPr>
                <w:rFonts w:hint="eastAsia" w:ascii="仿宋" w:hAnsi="仿宋" w:eastAsia="仿宋" w:cs="仿宋"/>
                <w:sz w:val="24"/>
                <w:highlight w:val="none"/>
              </w:rPr>
              <w:t>保修范围要求</w:t>
            </w:r>
          </w:p>
        </w:tc>
        <w:tc>
          <w:tcPr>
            <w:tcW w:w="6045" w:type="dxa"/>
            <w:tcBorders>
              <w:top w:val="nil"/>
              <w:left w:val="single" w:color="auto" w:sz="4" w:space="0"/>
              <w:bottom w:val="single" w:color="auto" w:sz="8" w:space="0"/>
              <w:right w:val="single" w:color="auto" w:sz="8" w:space="0"/>
            </w:tcBorders>
            <w:noWrap w:val="0"/>
            <w:vAlign w:val="center"/>
          </w:tcPr>
          <w:p w14:paraId="6729005A">
            <w:pPr>
              <w:rPr>
                <w:rFonts w:hint="eastAsia" w:ascii="仿宋" w:hAnsi="仿宋" w:eastAsia="仿宋" w:cs="仿宋"/>
                <w:sz w:val="24"/>
                <w:highlight w:val="none"/>
              </w:rPr>
            </w:pPr>
            <w:r>
              <w:rPr>
                <w:rFonts w:hint="eastAsia" w:ascii="仿宋" w:hAnsi="仿宋" w:eastAsia="仿宋" w:cs="仿宋"/>
                <w:sz w:val="24"/>
                <w:highlight w:val="none"/>
              </w:rPr>
              <w:t>整机保修（包含球管、高压发生器、探测器、工作站、高压注射器等）以及人工包含在保修范围内。</w:t>
            </w:r>
          </w:p>
        </w:tc>
      </w:tr>
      <w:tr w14:paraId="216E5284">
        <w:tblPrEx>
          <w:tblCellMar>
            <w:top w:w="0" w:type="dxa"/>
            <w:left w:w="108" w:type="dxa"/>
            <w:bottom w:w="0" w:type="dxa"/>
            <w:right w:w="108" w:type="dxa"/>
          </w:tblCellMar>
        </w:tblPrEx>
        <w:trPr>
          <w:trHeight w:val="560" w:hRule="atLeast"/>
          <w:jc w:val="center"/>
        </w:trPr>
        <w:tc>
          <w:tcPr>
            <w:tcW w:w="768" w:type="dxa"/>
            <w:tcBorders>
              <w:top w:val="nil"/>
              <w:left w:val="single" w:color="auto" w:sz="8" w:space="0"/>
              <w:bottom w:val="single" w:color="auto" w:sz="8" w:space="0"/>
              <w:right w:val="single" w:color="auto" w:sz="8" w:space="0"/>
            </w:tcBorders>
            <w:noWrap w:val="0"/>
            <w:vAlign w:val="center"/>
          </w:tcPr>
          <w:p w14:paraId="27F295F1">
            <w:pPr>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2086" w:type="dxa"/>
            <w:tcBorders>
              <w:top w:val="nil"/>
              <w:left w:val="nil"/>
              <w:bottom w:val="single" w:color="auto" w:sz="8" w:space="0"/>
              <w:right w:val="single" w:color="auto" w:sz="4" w:space="0"/>
            </w:tcBorders>
            <w:noWrap w:val="0"/>
            <w:vAlign w:val="center"/>
          </w:tcPr>
          <w:p w14:paraId="0A26237F">
            <w:pPr>
              <w:rPr>
                <w:rFonts w:hint="eastAsia" w:ascii="仿宋" w:hAnsi="仿宋" w:eastAsia="仿宋" w:cs="仿宋"/>
                <w:sz w:val="24"/>
                <w:highlight w:val="none"/>
              </w:rPr>
            </w:pPr>
            <w:r>
              <w:rPr>
                <w:rFonts w:hint="eastAsia" w:ascii="仿宋" w:hAnsi="仿宋" w:eastAsia="仿宋" w:cs="仿宋"/>
                <w:sz w:val="24"/>
                <w:highlight w:val="none"/>
              </w:rPr>
              <w:t>开机率保证</w:t>
            </w:r>
          </w:p>
        </w:tc>
        <w:tc>
          <w:tcPr>
            <w:tcW w:w="6045" w:type="dxa"/>
            <w:tcBorders>
              <w:top w:val="nil"/>
              <w:left w:val="single" w:color="auto" w:sz="4" w:space="0"/>
              <w:bottom w:val="single" w:color="auto" w:sz="8" w:space="0"/>
              <w:right w:val="single" w:color="auto" w:sz="8" w:space="0"/>
            </w:tcBorders>
            <w:noWrap w:val="0"/>
            <w:vAlign w:val="center"/>
          </w:tcPr>
          <w:p w14:paraId="0F964A0B">
            <w:pPr>
              <w:rPr>
                <w:rFonts w:hint="eastAsia" w:ascii="仿宋" w:hAnsi="仿宋" w:eastAsia="仿宋" w:cs="仿宋"/>
                <w:sz w:val="24"/>
                <w:highlight w:val="none"/>
              </w:rPr>
            </w:pPr>
            <w:r>
              <w:rPr>
                <w:rFonts w:hint="eastAsia" w:ascii="仿宋" w:hAnsi="仿宋" w:eastAsia="仿宋" w:cs="仿宋"/>
                <w:sz w:val="24"/>
                <w:highlight w:val="none"/>
              </w:rPr>
              <w:t>≥95%，每低于1%延长维保日期7天。</w:t>
            </w:r>
          </w:p>
        </w:tc>
      </w:tr>
      <w:tr w14:paraId="46B03F8B">
        <w:tblPrEx>
          <w:tblCellMar>
            <w:top w:w="0" w:type="dxa"/>
            <w:left w:w="108" w:type="dxa"/>
            <w:bottom w:w="0" w:type="dxa"/>
            <w:right w:w="108" w:type="dxa"/>
          </w:tblCellMar>
        </w:tblPrEx>
        <w:trPr>
          <w:trHeight w:val="560" w:hRule="atLeast"/>
          <w:jc w:val="center"/>
        </w:trPr>
        <w:tc>
          <w:tcPr>
            <w:tcW w:w="768" w:type="dxa"/>
            <w:tcBorders>
              <w:top w:val="nil"/>
              <w:left w:val="single" w:color="auto" w:sz="8" w:space="0"/>
              <w:bottom w:val="single" w:color="auto" w:sz="8" w:space="0"/>
              <w:right w:val="single" w:color="auto" w:sz="8" w:space="0"/>
            </w:tcBorders>
            <w:noWrap w:val="0"/>
            <w:vAlign w:val="center"/>
          </w:tcPr>
          <w:p w14:paraId="753BA1F3">
            <w:pPr>
              <w:jc w:val="center"/>
              <w:rPr>
                <w:rFonts w:hint="eastAsia" w:ascii="仿宋" w:hAnsi="仿宋" w:eastAsia="仿宋" w:cs="仿宋"/>
                <w:sz w:val="24"/>
                <w:highlight w:val="none"/>
              </w:rPr>
            </w:pPr>
            <w:r>
              <w:rPr>
                <w:rFonts w:hint="eastAsia" w:ascii="仿宋" w:hAnsi="仿宋" w:eastAsia="仿宋" w:cs="仿宋"/>
                <w:sz w:val="24"/>
                <w:highlight w:val="none"/>
              </w:rPr>
              <w:t>3</w:t>
            </w:r>
          </w:p>
        </w:tc>
        <w:tc>
          <w:tcPr>
            <w:tcW w:w="2086" w:type="dxa"/>
            <w:tcBorders>
              <w:top w:val="nil"/>
              <w:left w:val="nil"/>
              <w:bottom w:val="single" w:color="auto" w:sz="8" w:space="0"/>
              <w:right w:val="single" w:color="auto" w:sz="4" w:space="0"/>
            </w:tcBorders>
            <w:noWrap w:val="0"/>
            <w:vAlign w:val="center"/>
          </w:tcPr>
          <w:p w14:paraId="003283B0">
            <w:pPr>
              <w:rPr>
                <w:rFonts w:hint="eastAsia" w:ascii="仿宋" w:hAnsi="仿宋" w:eastAsia="仿宋" w:cs="仿宋"/>
                <w:sz w:val="24"/>
                <w:highlight w:val="none"/>
              </w:rPr>
            </w:pPr>
            <w:r>
              <w:rPr>
                <w:rFonts w:hint="eastAsia" w:ascii="仿宋" w:hAnsi="仿宋" w:eastAsia="仿宋" w:cs="仿宋"/>
                <w:sz w:val="24"/>
                <w:highlight w:val="none"/>
              </w:rPr>
              <w:t>响应时间</w:t>
            </w:r>
          </w:p>
        </w:tc>
        <w:tc>
          <w:tcPr>
            <w:tcW w:w="6045" w:type="dxa"/>
            <w:tcBorders>
              <w:top w:val="nil"/>
              <w:left w:val="single" w:color="auto" w:sz="4" w:space="0"/>
              <w:bottom w:val="single" w:color="auto" w:sz="8" w:space="0"/>
              <w:right w:val="single" w:color="auto" w:sz="8" w:space="0"/>
            </w:tcBorders>
            <w:noWrap w:val="0"/>
            <w:vAlign w:val="center"/>
          </w:tcPr>
          <w:p w14:paraId="41FF16E2">
            <w:pPr>
              <w:rPr>
                <w:rFonts w:hint="eastAsia" w:ascii="仿宋" w:hAnsi="仿宋" w:eastAsia="仿宋" w:cs="仿宋"/>
                <w:sz w:val="24"/>
                <w:highlight w:val="none"/>
              </w:rPr>
            </w:pPr>
            <w:r>
              <w:rPr>
                <w:rFonts w:hint="eastAsia" w:ascii="仿宋" w:hAnsi="仿宋" w:eastAsia="仿宋" w:cs="仿宋"/>
                <w:sz w:val="24"/>
                <w:highlight w:val="none"/>
              </w:rPr>
              <w:t>故障报修后1小时内电话响应，宕机情况下24小时内工程师必须赶到现场进行维修。</w:t>
            </w:r>
          </w:p>
        </w:tc>
      </w:tr>
      <w:tr w14:paraId="3BB7DF07">
        <w:tblPrEx>
          <w:tblCellMar>
            <w:top w:w="0" w:type="dxa"/>
            <w:left w:w="108" w:type="dxa"/>
            <w:bottom w:w="0" w:type="dxa"/>
            <w:right w:w="108" w:type="dxa"/>
          </w:tblCellMar>
        </w:tblPrEx>
        <w:trPr>
          <w:trHeight w:val="660" w:hRule="atLeast"/>
          <w:jc w:val="center"/>
        </w:trPr>
        <w:tc>
          <w:tcPr>
            <w:tcW w:w="768" w:type="dxa"/>
            <w:tcBorders>
              <w:top w:val="nil"/>
              <w:left w:val="single" w:color="auto" w:sz="8" w:space="0"/>
              <w:bottom w:val="single" w:color="auto" w:sz="8" w:space="0"/>
              <w:right w:val="single" w:color="auto" w:sz="8" w:space="0"/>
            </w:tcBorders>
            <w:noWrap w:val="0"/>
            <w:vAlign w:val="center"/>
          </w:tcPr>
          <w:p w14:paraId="495CE48D">
            <w:pPr>
              <w:jc w:val="center"/>
              <w:rPr>
                <w:rFonts w:hint="eastAsia" w:ascii="仿宋" w:hAnsi="仿宋" w:eastAsia="仿宋" w:cs="仿宋"/>
                <w:sz w:val="24"/>
                <w:highlight w:val="none"/>
              </w:rPr>
            </w:pPr>
            <w:r>
              <w:rPr>
                <w:rFonts w:hint="eastAsia" w:ascii="仿宋" w:hAnsi="仿宋" w:eastAsia="仿宋" w:cs="仿宋"/>
                <w:sz w:val="24"/>
                <w:highlight w:val="none"/>
              </w:rPr>
              <w:t>4</w:t>
            </w:r>
          </w:p>
        </w:tc>
        <w:tc>
          <w:tcPr>
            <w:tcW w:w="2086" w:type="dxa"/>
            <w:tcBorders>
              <w:top w:val="nil"/>
              <w:left w:val="nil"/>
              <w:bottom w:val="single" w:color="auto" w:sz="8" w:space="0"/>
              <w:right w:val="single" w:color="auto" w:sz="4" w:space="0"/>
            </w:tcBorders>
            <w:noWrap w:val="0"/>
            <w:vAlign w:val="center"/>
          </w:tcPr>
          <w:p w14:paraId="121F1F0F">
            <w:pPr>
              <w:rPr>
                <w:rFonts w:hint="eastAsia" w:ascii="仿宋" w:hAnsi="仿宋" w:eastAsia="仿宋" w:cs="仿宋"/>
                <w:sz w:val="24"/>
                <w:highlight w:val="none"/>
              </w:rPr>
            </w:pPr>
            <w:r>
              <w:rPr>
                <w:rFonts w:hint="eastAsia" w:ascii="仿宋" w:hAnsi="仿宋" w:eastAsia="仿宋" w:cs="仿宋"/>
                <w:sz w:val="24"/>
                <w:highlight w:val="none"/>
              </w:rPr>
              <w:t>具有800或400电话支持热线</w:t>
            </w:r>
          </w:p>
        </w:tc>
        <w:tc>
          <w:tcPr>
            <w:tcW w:w="6045" w:type="dxa"/>
            <w:tcBorders>
              <w:top w:val="nil"/>
              <w:left w:val="single" w:color="auto" w:sz="4" w:space="0"/>
              <w:bottom w:val="single" w:color="auto" w:sz="8" w:space="0"/>
              <w:right w:val="single" w:color="auto" w:sz="8" w:space="0"/>
            </w:tcBorders>
            <w:noWrap w:val="0"/>
            <w:vAlign w:val="center"/>
          </w:tcPr>
          <w:p w14:paraId="5957E7C0">
            <w:pPr>
              <w:rPr>
                <w:rFonts w:hint="eastAsia" w:ascii="仿宋" w:hAnsi="仿宋" w:eastAsia="仿宋" w:cs="仿宋"/>
                <w:sz w:val="24"/>
                <w:highlight w:val="none"/>
              </w:rPr>
            </w:pPr>
            <w:r>
              <w:rPr>
                <w:rFonts w:hint="eastAsia" w:ascii="仿宋" w:hAnsi="仿宋" w:eastAsia="仿宋" w:cs="仿宋"/>
                <w:sz w:val="24"/>
                <w:highlight w:val="none"/>
              </w:rPr>
              <w:t>提供800或400号码，</w:t>
            </w:r>
            <w:r>
              <w:rPr>
                <w:rFonts w:hint="eastAsia" w:ascii="仿宋" w:hAnsi="仿宋" w:eastAsia="仿宋" w:cs="仿宋"/>
                <w:kern w:val="0"/>
                <w:sz w:val="24"/>
                <w:highlight w:val="none"/>
              </w:rPr>
              <w:t>并提供365天，7*24小时热线支持。</w:t>
            </w:r>
          </w:p>
        </w:tc>
      </w:tr>
      <w:tr w14:paraId="04653041">
        <w:tblPrEx>
          <w:tblCellMar>
            <w:top w:w="0" w:type="dxa"/>
            <w:left w:w="108" w:type="dxa"/>
            <w:bottom w:w="0" w:type="dxa"/>
            <w:right w:w="108" w:type="dxa"/>
          </w:tblCellMar>
        </w:tblPrEx>
        <w:trPr>
          <w:trHeight w:val="660" w:hRule="atLeast"/>
          <w:jc w:val="center"/>
        </w:trPr>
        <w:tc>
          <w:tcPr>
            <w:tcW w:w="768" w:type="dxa"/>
            <w:tcBorders>
              <w:top w:val="nil"/>
              <w:left w:val="single" w:color="auto" w:sz="8" w:space="0"/>
              <w:bottom w:val="single" w:color="auto" w:sz="8" w:space="0"/>
              <w:right w:val="single" w:color="auto" w:sz="8" w:space="0"/>
            </w:tcBorders>
            <w:noWrap w:val="0"/>
            <w:vAlign w:val="center"/>
          </w:tcPr>
          <w:p w14:paraId="1EF8D8F6">
            <w:pPr>
              <w:jc w:val="center"/>
              <w:rPr>
                <w:rFonts w:hint="eastAsia" w:ascii="仿宋" w:hAnsi="仿宋" w:eastAsia="仿宋" w:cs="仿宋"/>
                <w:sz w:val="24"/>
                <w:highlight w:val="none"/>
              </w:rPr>
            </w:pPr>
            <w:r>
              <w:rPr>
                <w:rFonts w:hint="eastAsia" w:ascii="仿宋" w:hAnsi="仿宋" w:eastAsia="仿宋" w:cs="仿宋"/>
                <w:sz w:val="24"/>
                <w:highlight w:val="none"/>
              </w:rPr>
              <w:t>#5</w:t>
            </w:r>
          </w:p>
          <w:p w14:paraId="22955C91">
            <w:pPr>
              <w:jc w:val="center"/>
              <w:rPr>
                <w:rFonts w:hint="eastAsia" w:ascii="仿宋" w:hAnsi="仿宋" w:eastAsia="仿宋" w:cs="仿宋"/>
                <w:sz w:val="24"/>
                <w:highlight w:val="none"/>
              </w:rPr>
            </w:pPr>
          </w:p>
        </w:tc>
        <w:tc>
          <w:tcPr>
            <w:tcW w:w="2086" w:type="dxa"/>
            <w:tcBorders>
              <w:top w:val="nil"/>
              <w:left w:val="nil"/>
              <w:bottom w:val="single" w:color="auto" w:sz="8" w:space="0"/>
              <w:right w:val="single" w:color="auto" w:sz="4" w:space="0"/>
            </w:tcBorders>
            <w:noWrap w:val="0"/>
            <w:vAlign w:val="center"/>
          </w:tcPr>
          <w:p w14:paraId="1FFB5D36">
            <w:pPr>
              <w:rPr>
                <w:rFonts w:hint="eastAsia" w:ascii="仿宋" w:hAnsi="仿宋" w:eastAsia="仿宋" w:cs="仿宋"/>
                <w:sz w:val="24"/>
                <w:highlight w:val="none"/>
              </w:rPr>
            </w:pPr>
            <w:r>
              <w:rPr>
                <w:rFonts w:hint="eastAsia" w:ascii="仿宋" w:hAnsi="仿宋" w:eastAsia="仿宋" w:cs="仿宋"/>
                <w:sz w:val="24"/>
                <w:highlight w:val="none"/>
              </w:rPr>
              <w:t>维保公司专职工程师人数</w:t>
            </w:r>
          </w:p>
        </w:tc>
        <w:tc>
          <w:tcPr>
            <w:tcW w:w="6045" w:type="dxa"/>
            <w:tcBorders>
              <w:top w:val="nil"/>
              <w:left w:val="single" w:color="auto" w:sz="4" w:space="0"/>
              <w:bottom w:val="single" w:color="auto" w:sz="8" w:space="0"/>
              <w:right w:val="single" w:color="auto" w:sz="8" w:space="0"/>
            </w:tcBorders>
            <w:noWrap w:val="0"/>
            <w:vAlign w:val="center"/>
          </w:tcPr>
          <w:p w14:paraId="1E56AB83">
            <w:pPr>
              <w:rPr>
                <w:rFonts w:hint="eastAsia" w:ascii="仿宋" w:hAnsi="仿宋" w:eastAsia="仿宋" w:cs="仿宋"/>
                <w:sz w:val="24"/>
                <w:highlight w:val="none"/>
              </w:rPr>
            </w:pPr>
            <w:r>
              <w:rPr>
                <w:rFonts w:hint="eastAsia" w:ascii="仿宋" w:hAnsi="仿宋" w:eastAsia="仿宋" w:cs="仿宋"/>
                <w:sz w:val="24"/>
                <w:highlight w:val="none"/>
              </w:rPr>
              <w:t>省内专职工程师人数≥2个。提供经过此类设备培训，具备该类设备专业维修能力的资质证书。</w:t>
            </w:r>
          </w:p>
        </w:tc>
      </w:tr>
      <w:tr w14:paraId="635B4BC7">
        <w:tblPrEx>
          <w:tblCellMar>
            <w:top w:w="0" w:type="dxa"/>
            <w:left w:w="108" w:type="dxa"/>
            <w:bottom w:w="0" w:type="dxa"/>
            <w:right w:w="108" w:type="dxa"/>
          </w:tblCellMar>
        </w:tblPrEx>
        <w:trPr>
          <w:trHeight w:val="660" w:hRule="atLeast"/>
          <w:jc w:val="center"/>
        </w:trPr>
        <w:tc>
          <w:tcPr>
            <w:tcW w:w="768" w:type="dxa"/>
            <w:tcBorders>
              <w:top w:val="nil"/>
              <w:left w:val="single" w:color="auto" w:sz="8" w:space="0"/>
              <w:bottom w:val="single" w:color="auto" w:sz="8" w:space="0"/>
              <w:right w:val="single" w:color="auto" w:sz="8" w:space="0"/>
            </w:tcBorders>
            <w:noWrap w:val="0"/>
            <w:vAlign w:val="center"/>
          </w:tcPr>
          <w:p w14:paraId="47C0F075">
            <w:pPr>
              <w:jc w:val="center"/>
              <w:rPr>
                <w:rFonts w:hint="eastAsia" w:ascii="仿宋" w:hAnsi="仿宋" w:eastAsia="仿宋" w:cs="仿宋"/>
                <w:sz w:val="24"/>
                <w:highlight w:val="none"/>
              </w:rPr>
            </w:pPr>
            <w:r>
              <w:rPr>
                <w:rFonts w:hint="eastAsia" w:ascii="仿宋" w:hAnsi="仿宋" w:eastAsia="仿宋" w:cs="仿宋"/>
                <w:sz w:val="24"/>
                <w:highlight w:val="none"/>
              </w:rPr>
              <w:t>★6</w:t>
            </w:r>
          </w:p>
          <w:p w14:paraId="10D81287">
            <w:pPr>
              <w:jc w:val="center"/>
              <w:rPr>
                <w:rFonts w:hint="eastAsia" w:ascii="仿宋" w:hAnsi="仿宋" w:eastAsia="仿宋" w:cs="仿宋"/>
                <w:sz w:val="24"/>
                <w:highlight w:val="none"/>
              </w:rPr>
            </w:pPr>
          </w:p>
        </w:tc>
        <w:tc>
          <w:tcPr>
            <w:tcW w:w="2086" w:type="dxa"/>
            <w:tcBorders>
              <w:top w:val="nil"/>
              <w:left w:val="nil"/>
              <w:bottom w:val="single" w:color="auto" w:sz="8" w:space="0"/>
              <w:right w:val="single" w:color="auto" w:sz="4" w:space="0"/>
            </w:tcBorders>
            <w:noWrap w:val="0"/>
            <w:vAlign w:val="center"/>
          </w:tcPr>
          <w:p w14:paraId="31872547">
            <w:pPr>
              <w:rPr>
                <w:rFonts w:hint="eastAsia" w:ascii="仿宋" w:hAnsi="仿宋" w:eastAsia="仿宋" w:cs="仿宋"/>
                <w:sz w:val="24"/>
                <w:highlight w:val="none"/>
              </w:rPr>
            </w:pPr>
            <w:r>
              <w:rPr>
                <w:rFonts w:hint="eastAsia" w:ascii="仿宋" w:hAnsi="仿宋" w:eastAsia="仿宋" w:cs="仿宋"/>
                <w:sz w:val="24"/>
                <w:highlight w:val="none"/>
              </w:rPr>
              <w:t>零备件质量保证及承诺</w:t>
            </w:r>
          </w:p>
        </w:tc>
        <w:tc>
          <w:tcPr>
            <w:tcW w:w="6045" w:type="dxa"/>
            <w:tcBorders>
              <w:top w:val="nil"/>
              <w:left w:val="single" w:color="auto" w:sz="4" w:space="0"/>
              <w:bottom w:val="single" w:color="auto" w:sz="8" w:space="0"/>
              <w:right w:val="single" w:color="auto" w:sz="8" w:space="0"/>
            </w:tcBorders>
            <w:noWrap w:val="0"/>
            <w:vAlign w:val="center"/>
          </w:tcPr>
          <w:p w14:paraId="20638A35">
            <w:pPr>
              <w:rPr>
                <w:rFonts w:hint="eastAsia" w:ascii="仿宋" w:hAnsi="仿宋" w:eastAsia="仿宋" w:cs="仿宋"/>
                <w:sz w:val="24"/>
                <w:highlight w:val="none"/>
              </w:rPr>
            </w:pPr>
            <w:r>
              <w:rPr>
                <w:rFonts w:hint="eastAsia" w:ascii="仿宋" w:hAnsi="仿宋" w:eastAsia="仿宋" w:cs="仿宋"/>
                <w:sz w:val="24"/>
                <w:highlight w:val="none"/>
              </w:rPr>
              <w:t>所有零备件（包含球管、高压发生器、探测器）承诺提供全新原厂合格配件。</w:t>
            </w:r>
          </w:p>
        </w:tc>
      </w:tr>
      <w:tr w14:paraId="2F175952">
        <w:tblPrEx>
          <w:tblCellMar>
            <w:top w:w="0" w:type="dxa"/>
            <w:left w:w="108" w:type="dxa"/>
            <w:bottom w:w="0" w:type="dxa"/>
            <w:right w:w="108" w:type="dxa"/>
          </w:tblCellMar>
        </w:tblPrEx>
        <w:trPr>
          <w:trHeight w:val="560" w:hRule="atLeast"/>
          <w:jc w:val="center"/>
        </w:trPr>
        <w:tc>
          <w:tcPr>
            <w:tcW w:w="768" w:type="dxa"/>
            <w:tcBorders>
              <w:top w:val="nil"/>
              <w:left w:val="single" w:color="auto" w:sz="8" w:space="0"/>
              <w:bottom w:val="single" w:color="auto" w:sz="8" w:space="0"/>
              <w:right w:val="single" w:color="auto" w:sz="8" w:space="0"/>
            </w:tcBorders>
            <w:noWrap w:val="0"/>
            <w:vAlign w:val="center"/>
          </w:tcPr>
          <w:p w14:paraId="089F0CDA">
            <w:pPr>
              <w:jc w:val="center"/>
              <w:rPr>
                <w:rFonts w:hint="eastAsia" w:ascii="仿宋" w:hAnsi="仿宋" w:eastAsia="仿宋" w:cs="仿宋"/>
                <w:sz w:val="24"/>
                <w:highlight w:val="none"/>
              </w:rPr>
            </w:pPr>
            <w:r>
              <w:rPr>
                <w:rFonts w:hint="eastAsia" w:ascii="仿宋" w:hAnsi="仿宋" w:eastAsia="仿宋" w:cs="仿宋"/>
                <w:sz w:val="24"/>
                <w:highlight w:val="none"/>
              </w:rPr>
              <w:t>7</w:t>
            </w:r>
          </w:p>
        </w:tc>
        <w:tc>
          <w:tcPr>
            <w:tcW w:w="2086" w:type="dxa"/>
            <w:tcBorders>
              <w:top w:val="nil"/>
              <w:left w:val="nil"/>
              <w:bottom w:val="single" w:color="auto" w:sz="8" w:space="0"/>
              <w:right w:val="single" w:color="auto" w:sz="4" w:space="0"/>
            </w:tcBorders>
            <w:noWrap w:val="0"/>
            <w:vAlign w:val="center"/>
          </w:tcPr>
          <w:p w14:paraId="5887C373">
            <w:pPr>
              <w:rPr>
                <w:rFonts w:hint="eastAsia" w:ascii="仿宋" w:hAnsi="仿宋" w:eastAsia="仿宋" w:cs="仿宋"/>
                <w:sz w:val="24"/>
                <w:highlight w:val="none"/>
              </w:rPr>
            </w:pPr>
            <w:r>
              <w:rPr>
                <w:rFonts w:hint="eastAsia" w:ascii="仿宋" w:hAnsi="仿宋" w:eastAsia="仿宋" w:cs="仿宋"/>
                <w:sz w:val="24"/>
                <w:highlight w:val="none"/>
              </w:rPr>
              <w:t>安全升级、安全检查、质量保证</w:t>
            </w:r>
          </w:p>
        </w:tc>
        <w:tc>
          <w:tcPr>
            <w:tcW w:w="6045" w:type="dxa"/>
            <w:tcBorders>
              <w:top w:val="nil"/>
              <w:left w:val="single" w:color="auto" w:sz="4" w:space="0"/>
              <w:bottom w:val="single" w:color="auto" w:sz="8" w:space="0"/>
              <w:right w:val="single" w:color="auto" w:sz="8" w:space="0"/>
            </w:tcBorders>
            <w:noWrap w:val="0"/>
            <w:vAlign w:val="center"/>
          </w:tcPr>
          <w:p w14:paraId="0BCB9838">
            <w:pPr>
              <w:rPr>
                <w:rFonts w:hint="eastAsia" w:ascii="仿宋" w:hAnsi="仿宋" w:eastAsia="仿宋" w:cs="仿宋"/>
                <w:sz w:val="24"/>
                <w:highlight w:val="none"/>
              </w:rPr>
            </w:pPr>
            <w:r>
              <w:rPr>
                <w:rFonts w:hint="eastAsia" w:ascii="仿宋" w:hAnsi="仿宋" w:eastAsia="仿宋" w:cs="仿宋"/>
                <w:sz w:val="24"/>
                <w:highlight w:val="none"/>
              </w:rPr>
              <w:t>提供原设备制造商标准的安全升级、安全检查、质量保证。符合《中华人民共和国著作权法》等相关法律法规的要求。</w:t>
            </w:r>
          </w:p>
        </w:tc>
      </w:tr>
      <w:tr w14:paraId="0CAF8895">
        <w:tblPrEx>
          <w:tblCellMar>
            <w:top w:w="0" w:type="dxa"/>
            <w:left w:w="108" w:type="dxa"/>
            <w:bottom w:w="0" w:type="dxa"/>
            <w:right w:w="108" w:type="dxa"/>
          </w:tblCellMar>
        </w:tblPrEx>
        <w:trPr>
          <w:trHeight w:val="560" w:hRule="atLeast"/>
          <w:jc w:val="center"/>
        </w:trPr>
        <w:tc>
          <w:tcPr>
            <w:tcW w:w="768" w:type="dxa"/>
            <w:tcBorders>
              <w:top w:val="nil"/>
              <w:left w:val="single" w:color="auto" w:sz="8" w:space="0"/>
              <w:bottom w:val="single" w:color="auto" w:sz="4" w:space="0"/>
              <w:right w:val="single" w:color="auto" w:sz="8" w:space="0"/>
            </w:tcBorders>
            <w:noWrap w:val="0"/>
            <w:vAlign w:val="center"/>
          </w:tcPr>
          <w:p w14:paraId="4934CEF8">
            <w:pPr>
              <w:jc w:val="center"/>
              <w:rPr>
                <w:rFonts w:hint="eastAsia" w:ascii="仿宋" w:hAnsi="仿宋" w:eastAsia="仿宋" w:cs="仿宋"/>
                <w:sz w:val="24"/>
                <w:highlight w:val="none"/>
              </w:rPr>
            </w:pPr>
            <w:r>
              <w:rPr>
                <w:rFonts w:hint="eastAsia" w:ascii="仿宋" w:hAnsi="仿宋" w:eastAsia="仿宋" w:cs="仿宋"/>
                <w:sz w:val="24"/>
                <w:highlight w:val="none"/>
              </w:rPr>
              <w:t>8</w:t>
            </w:r>
          </w:p>
        </w:tc>
        <w:tc>
          <w:tcPr>
            <w:tcW w:w="2086" w:type="dxa"/>
            <w:tcBorders>
              <w:top w:val="nil"/>
              <w:left w:val="nil"/>
              <w:bottom w:val="single" w:color="auto" w:sz="4" w:space="0"/>
              <w:right w:val="single" w:color="auto" w:sz="4" w:space="0"/>
            </w:tcBorders>
            <w:noWrap w:val="0"/>
            <w:vAlign w:val="center"/>
          </w:tcPr>
          <w:p w14:paraId="628092C2">
            <w:pPr>
              <w:rPr>
                <w:rFonts w:hint="eastAsia" w:ascii="仿宋" w:hAnsi="仿宋" w:eastAsia="仿宋" w:cs="仿宋"/>
                <w:sz w:val="24"/>
                <w:highlight w:val="none"/>
              </w:rPr>
            </w:pPr>
            <w:r>
              <w:rPr>
                <w:rFonts w:hint="eastAsia" w:ascii="仿宋" w:hAnsi="仿宋" w:eastAsia="仿宋" w:cs="仿宋"/>
                <w:sz w:val="24"/>
                <w:highlight w:val="none"/>
              </w:rPr>
              <w:t>维护保养</w:t>
            </w:r>
          </w:p>
        </w:tc>
        <w:tc>
          <w:tcPr>
            <w:tcW w:w="6045" w:type="dxa"/>
            <w:tcBorders>
              <w:top w:val="nil"/>
              <w:left w:val="single" w:color="auto" w:sz="4" w:space="0"/>
              <w:bottom w:val="single" w:color="auto" w:sz="4" w:space="0"/>
              <w:right w:val="single" w:color="auto" w:sz="8" w:space="0"/>
            </w:tcBorders>
            <w:noWrap w:val="0"/>
            <w:vAlign w:val="center"/>
          </w:tcPr>
          <w:p w14:paraId="22A655A4">
            <w:pPr>
              <w:rPr>
                <w:rFonts w:hint="eastAsia" w:ascii="仿宋" w:hAnsi="仿宋" w:eastAsia="仿宋" w:cs="仿宋"/>
                <w:sz w:val="24"/>
                <w:highlight w:val="none"/>
              </w:rPr>
            </w:pPr>
            <w:r>
              <w:rPr>
                <w:rFonts w:hint="eastAsia" w:ascii="仿宋" w:hAnsi="仿宋" w:eastAsia="仿宋" w:cs="仿宋"/>
                <w:sz w:val="24"/>
                <w:highlight w:val="none"/>
              </w:rPr>
              <w:t>保修期间中标单位应按规范实施对设备的常规保养，</w:t>
            </w:r>
            <w:r>
              <w:rPr>
                <w:rStyle w:val="4"/>
                <w:rFonts w:hint="eastAsia" w:ascii="仿宋" w:hAnsi="仿宋" w:eastAsia="仿宋" w:cs="仿宋"/>
                <w:b w:val="0"/>
                <w:sz w:val="24"/>
                <w:highlight w:val="none"/>
              </w:rPr>
              <w:t>一年维护保养次数≥2次</w:t>
            </w:r>
            <w:r>
              <w:rPr>
                <w:rFonts w:hint="eastAsia" w:ascii="仿宋" w:hAnsi="仿宋" w:eastAsia="仿宋" w:cs="仿宋"/>
                <w:sz w:val="24"/>
                <w:highlight w:val="none"/>
              </w:rPr>
              <w:t>，其中床垫、头垫附件2年更换一次；每次进行维保工作均应出具正规维保工作报告并由双方相关人员进行签字确认。</w:t>
            </w:r>
          </w:p>
        </w:tc>
      </w:tr>
      <w:tr w14:paraId="345C58D1">
        <w:tblPrEx>
          <w:tblCellMar>
            <w:top w:w="0" w:type="dxa"/>
            <w:left w:w="108" w:type="dxa"/>
            <w:bottom w:w="0" w:type="dxa"/>
            <w:right w:w="108" w:type="dxa"/>
          </w:tblCellMar>
        </w:tblPrEx>
        <w:trPr>
          <w:trHeight w:val="583" w:hRule="atLeast"/>
          <w:jc w:val="center"/>
        </w:trPr>
        <w:tc>
          <w:tcPr>
            <w:tcW w:w="768" w:type="dxa"/>
            <w:tcBorders>
              <w:top w:val="single" w:color="auto" w:sz="4" w:space="0"/>
              <w:left w:val="single" w:color="auto" w:sz="4" w:space="0"/>
              <w:bottom w:val="single" w:color="auto" w:sz="4" w:space="0"/>
              <w:right w:val="single" w:color="auto" w:sz="8" w:space="0"/>
            </w:tcBorders>
            <w:noWrap w:val="0"/>
            <w:vAlign w:val="center"/>
          </w:tcPr>
          <w:p w14:paraId="020740CB">
            <w:pPr>
              <w:jc w:val="center"/>
              <w:rPr>
                <w:rFonts w:hint="eastAsia" w:ascii="仿宋" w:hAnsi="仿宋" w:eastAsia="仿宋" w:cs="仿宋"/>
                <w:sz w:val="24"/>
                <w:highlight w:val="none"/>
              </w:rPr>
            </w:pPr>
            <w:r>
              <w:rPr>
                <w:rFonts w:hint="eastAsia" w:ascii="仿宋" w:hAnsi="仿宋" w:eastAsia="仿宋" w:cs="仿宋"/>
                <w:sz w:val="24"/>
                <w:highlight w:val="none"/>
              </w:rPr>
              <w:t>9</w:t>
            </w:r>
          </w:p>
        </w:tc>
        <w:tc>
          <w:tcPr>
            <w:tcW w:w="2086" w:type="dxa"/>
            <w:tcBorders>
              <w:top w:val="single" w:color="auto" w:sz="4" w:space="0"/>
              <w:left w:val="nil"/>
              <w:bottom w:val="single" w:color="auto" w:sz="4" w:space="0"/>
              <w:right w:val="single" w:color="auto" w:sz="4" w:space="0"/>
            </w:tcBorders>
            <w:noWrap w:val="0"/>
            <w:vAlign w:val="center"/>
          </w:tcPr>
          <w:p w14:paraId="672D815A">
            <w:pPr>
              <w:rPr>
                <w:rFonts w:hint="eastAsia" w:ascii="仿宋" w:hAnsi="仿宋" w:eastAsia="仿宋" w:cs="仿宋"/>
                <w:sz w:val="24"/>
                <w:highlight w:val="none"/>
              </w:rPr>
            </w:pPr>
            <w:r>
              <w:rPr>
                <w:rFonts w:hint="eastAsia" w:ascii="仿宋" w:hAnsi="仿宋" w:eastAsia="仿宋" w:cs="仿宋"/>
                <w:sz w:val="24"/>
                <w:highlight w:val="none"/>
              </w:rPr>
              <w:t>具备互联网远程故障排除能力</w:t>
            </w:r>
          </w:p>
        </w:tc>
        <w:tc>
          <w:tcPr>
            <w:tcW w:w="6045" w:type="dxa"/>
            <w:tcBorders>
              <w:top w:val="single" w:color="auto" w:sz="4" w:space="0"/>
              <w:left w:val="single" w:color="auto" w:sz="4" w:space="0"/>
              <w:bottom w:val="single" w:color="auto" w:sz="4" w:space="0"/>
              <w:right w:val="single" w:color="auto" w:sz="4" w:space="0"/>
            </w:tcBorders>
            <w:noWrap w:val="0"/>
            <w:vAlign w:val="center"/>
          </w:tcPr>
          <w:p w14:paraId="6536150A">
            <w:pPr>
              <w:rPr>
                <w:rFonts w:hint="eastAsia" w:ascii="仿宋" w:hAnsi="仿宋" w:eastAsia="仿宋" w:cs="仿宋"/>
                <w:sz w:val="24"/>
                <w:highlight w:val="none"/>
              </w:rPr>
            </w:pPr>
            <w:r>
              <w:rPr>
                <w:rFonts w:hint="eastAsia" w:ascii="仿宋" w:hAnsi="仿宋" w:eastAsia="仿宋" w:cs="仿宋"/>
                <w:sz w:val="24"/>
                <w:highlight w:val="none"/>
              </w:rPr>
              <w:t>能通过互联网连接远程进行故障排除，能通过互联网连接进行远程应用支持且可以实时显示操作界面。</w:t>
            </w:r>
          </w:p>
        </w:tc>
      </w:tr>
    </w:tbl>
    <w:p w14:paraId="1804EB32">
      <w:pPr>
        <w:rPr>
          <w:rFonts w:hint="eastAsia" w:ascii="仿宋" w:hAnsi="仿宋" w:eastAsia="仿宋" w:cs="仿宋"/>
          <w:b/>
          <w:sz w:val="24"/>
          <w:highlight w:val="none"/>
        </w:rPr>
      </w:pPr>
    </w:p>
    <w:p w14:paraId="7BA10DC7">
      <w:pPr>
        <w:rPr>
          <w:rFonts w:hint="eastAsia" w:ascii="仿宋" w:hAnsi="仿宋" w:eastAsia="仿宋" w:cs="仿宋"/>
          <w:b/>
          <w:sz w:val="24"/>
          <w:highlight w:val="none"/>
        </w:rPr>
      </w:pPr>
      <w:r>
        <w:rPr>
          <w:rFonts w:hint="eastAsia" w:ascii="仿宋" w:hAnsi="仿宋" w:eastAsia="仿宋" w:cs="仿宋"/>
          <w:b/>
          <w:sz w:val="24"/>
          <w:highlight w:val="none"/>
        </w:rPr>
        <w:t>2.</w:t>
      </w:r>
      <w:r>
        <w:rPr>
          <w:rFonts w:hint="eastAsia" w:ascii="仿宋" w:hAnsi="仿宋" w:eastAsia="仿宋" w:cs="仿宋"/>
          <w:b/>
          <w:sz w:val="24"/>
          <w:highlight w:val="none"/>
          <w:lang w:val="en-US" w:eastAsia="zh-CN"/>
        </w:rPr>
        <w:t xml:space="preserve">6 </w:t>
      </w:r>
      <w:bookmarkStart w:id="0" w:name="_GoBack"/>
      <w:bookmarkEnd w:id="0"/>
      <w:r>
        <w:rPr>
          <w:rFonts w:hint="eastAsia" w:ascii="仿宋" w:hAnsi="仿宋" w:eastAsia="仿宋" w:cs="仿宋"/>
          <w:b/>
          <w:sz w:val="24"/>
          <w:highlight w:val="none"/>
        </w:rPr>
        <w:t xml:space="preserve">MR维保服务技术参数  </w:t>
      </w:r>
      <w:r>
        <w:rPr>
          <w:rFonts w:hint="eastAsia" w:ascii="仿宋" w:hAnsi="仿宋" w:eastAsia="仿宋" w:cs="仿宋"/>
          <w:b/>
          <w:sz w:val="24"/>
          <w:highlight w:val="none"/>
        </w:rPr>
        <w:t>最高限价：57.6万元</w:t>
      </w:r>
    </w:p>
    <w:tbl>
      <w:tblPr>
        <w:tblStyle w:val="2"/>
        <w:tblW w:w="8699" w:type="dxa"/>
        <w:jc w:val="center"/>
        <w:tblLayout w:type="fixed"/>
        <w:tblCellMar>
          <w:top w:w="0" w:type="dxa"/>
          <w:left w:w="108" w:type="dxa"/>
          <w:bottom w:w="0" w:type="dxa"/>
          <w:right w:w="108" w:type="dxa"/>
        </w:tblCellMar>
      </w:tblPr>
      <w:tblGrid>
        <w:gridCol w:w="751"/>
        <w:gridCol w:w="2039"/>
        <w:gridCol w:w="5909"/>
      </w:tblGrid>
      <w:tr w14:paraId="5547E70E">
        <w:tblPrEx>
          <w:tblCellMar>
            <w:top w:w="0" w:type="dxa"/>
            <w:left w:w="108" w:type="dxa"/>
            <w:bottom w:w="0" w:type="dxa"/>
            <w:right w:w="108" w:type="dxa"/>
          </w:tblCellMar>
        </w:tblPrEx>
        <w:trPr>
          <w:trHeight w:val="629" w:hRule="atLeast"/>
          <w:jc w:val="center"/>
        </w:trPr>
        <w:tc>
          <w:tcPr>
            <w:tcW w:w="751" w:type="dxa"/>
            <w:tcBorders>
              <w:top w:val="single" w:color="auto" w:sz="8" w:space="0"/>
              <w:left w:val="single" w:color="auto" w:sz="8" w:space="0"/>
              <w:bottom w:val="single" w:color="auto" w:sz="8" w:space="0"/>
              <w:right w:val="single" w:color="auto" w:sz="8" w:space="0"/>
            </w:tcBorders>
            <w:noWrap w:val="0"/>
            <w:vAlign w:val="center"/>
          </w:tcPr>
          <w:p w14:paraId="1F93142F">
            <w:pPr>
              <w:widowControl/>
              <w:jc w:val="center"/>
              <w:rPr>
                <w:rFonts w:hint="eastAsia" w:ascii="仿宋" w:hAnsi="仿宋" w:eastAsia="仿宋" w:cs="仿宋"/>
                <w:kern w:val="0"/>
                <w:sz w:val="24"/>
                <w:highlight w:val="none"/>
              </w:rPr>
            </w:pPr>
            <w:r>
              <w:rPr>
                <w:rFonts w:hint="eastAsia" w:ascii="仿宋" w:hAnsi="仿宋" w:eastAsia="仿宋" w:cs="仿宋"/>
                <w:b/>
                <w:kern w:val="0"/>
                <w:sz w:val="24"/>
                <w:highlight w:val="none"/>
              </w:rPr>
              <w:t>序号</w:t>
            </w:r>
          </w:p>
        </w:tc>
        <w:tc>
          <w:tcPr>
            <w:tcW w:w="7948" w:type="dxa"/>
            <w:gridSpan w:val="2"/>
            <w:tcBorders>
              <w:top w:val="single" w:color="auto" w:sz="8" w:space="0"/>
              <w:left w:val="nil"/>
              <w:bottom w:val="single" w:color="auto" w:sz="8" w:space="0"/>
              <w:right w:val="single" w:color="auto" w:sz="8" w:space="0"/>
            </w:tcBorders>
            <w:noWrap w:val="0"/>
            <w:vAlign w:val="center"/>
          </w:tcPr>
          <w:p w14:paraId="443AB0CC">
            <w:pPr>
              <w:widowControl/>
              <w:jc w:val="center"/>
              <w:rPr>
                <w:rFonts w:hint="eastAsia" w:ascii="仿宋" w:hAnsi="仿宋" w:eastAsia="仿宋" w:cs="仿宋"/>
                <w:kern w:val="0"/>
                <w:sz w:val="24"/>
                <w:highlight w:val="none"/>
              </w:rPr>
            </w:pPr>
            <w:r>
              <w:rPr>
                <w:rFonts w:hint="eastAsia" w:ascii="仿宋" w:hAnsi="仿宋" w:eastAsia="仿宋" w:cs="仿宋"/>
                <w:b/>
                <w:kern w:val="0"/>
                <w:sz w:val="24"/>
                <w:highlight w:val="none"/>
              </w:rPr>
              <w:t>技术参数或要求</w:t>
            </w:r>
          </w:p>
        </w:tc>
      </w:tr>
      <w:tr w14:paraId="522872AF">
        <w:tblPrEx>
          <w:tblCellMar>
            <w:top w:w="0" w:type="dxa"/>
            <w:left w:w="108" w:type="dxa"/>
            <w:bottom w:w="0" w:type="dxa"/>
            <w:right w:w="108" w:type="dxa"/>
          </w:tblCellMar>
        </w:tblPrEx>
        <w:trPr>
          <w:trHeight w:val="1247" w:hRule="atLeast"/>
          <w:jc w:val="center"/>
        </w:trPr>
        <w:tc>
          <w:tcPr>
            <w:tcW w:w="751" w:type="dxa"/>
            <w:tcBorders>
              <w:top w:val="nil"/>
              <w:left w:val="single" w:color="auto" w:sz="8" w:space="0"/>
              <w:bottom w:val="single" w:color="auto" w:sz="8" w:space="0"/>
              <w:right w:val="single" w:color="auto" w:sz="8" w:space="0"/>
            </w:tcBorders>
            <w:noWrap w:val="0"/>
            <w:vAlign w:val="center"/>
          </w:tcPr>
          <w:p w14:paraId="1742C377">
            <w:pPr>
              <w:jc w:val="center"/>
              <w:rPr>
                <w:rFonts w:hint="eastAsia" w:ascii="仿宋" w:hAnsi="仿宋" w:eastAsia="仿宋" w:cs="仿宋"/>
                <w:sz w:val="24"/>
                <w:highlight w:val="none"/>
              </w:rPr>
            </w:pPr>
            <w:r>
              <w:rPr>
                <w:rFonts w:hint="eastAsia" w:ascii="仿宋" w:hAnsi="仿宋" w:eastAsia="仿宋" w:cs="仿宋"/>
                <w:sz w:val="24"/>
                <w:highlight w:val="none"/>
              </w:rPr>
              <w:t>★1</w:t>
            </w:r>
          </w:p>
        </w:tc>
        <w:tc>
          <w:tcPr>
            <w:tcW w:w="2039" w:type="dxa"/>
            <w:tcBorders>
              <w:top w:val="nil"/>
              <w:left w:val="nil"/>
              <w:bottom w:val="single" w:color="auto" w:sz="8" w:space="0"/>
              <w:right w:val="single" w:color="auto" w:sz="4" w:space="0"/>
            </w:tcBorders>
            <w:noWrap w:val="0"/>
            <w:vAlign w:val="center"/>
          </w:tcPr>
          <w:p w14:paraId="34464499">
            <w:pPr>
              <w:rPr>
                <w:rFonts w:hint="eastAsia" w:ascii="仿宋" w:hAnsi="仿宋" w:eastAsia="仿宋" w:cs="仿宋"/>
                <w:sz w:val="24"/>
                <w:highlight w:val="none"/>
              </w:rPr>
            </w:pPr>
            <w:r>
              <w:rPr>
                <w:rFonts w:hint="eastAsia" w:ascii="仿宋" w:hAnsi="仿宋" w:eastAsia="仿宋" w:cs="仿宋"/>
                <w:sz w:val="24"/>
                <w:highlight w:val="none"/>
              </w:rPr>
              <w:t>保修范围要求</w:t>
            </w:r>
          </w:p>
        </w:tc>
        <w:tc>
          <w:tcPr>
            <w:tcW w:w="5909" w:type="dxa"/>
            <w:tcBorders>
              <w:top w:val="nil"/>
              <w:left w:val="single" w:color="auto" w:sz="4" w:space="0"/>
              <w:bottom w:val="single" w:color="auto" w:sz="8" w:space="0"/>
              <w:right w:val="single" w:color="auto" w:sz="8" w:space="0"/>
            </w:tcBorders>
            <w:noWrap w:val="0"/>
            <w:vAlign w:val="center"/>
          </w:tcPr>
          <w:p w14:paraId="1BA8D96B">
            <w:pPr>
              <w:pStyle w:val="5"/>
              <w:rPr>
                <w:rFonts w:hint="eastAsia" w:ascii="仿宋" w:hAnsi="仿宋" w:eastAsia="仿宋" w:cs="仿宋"/>
                <w:sz w:val="24"/>
                <w:highlight w:val="none"/>
              </w:rPr>
            </w:pPr>
            <w:r>
              <w:rPr>
                <w:rFonts w:hint="eastAsia" w:ascii="仿宋" w:hAnsi="仿宋" w:eastAsia="仿宋" w:cs="仿宋"/>
                <w:sz w:val="24"/>
                <w:highlight w:val="none"/>
              </w:rPr>
              <w:t>整机保修（包含磁体、液氦、冷头及其更换、压缩机吸附器、水冷机、空调、工作站、高压注射器、磁体失超应急处置及相关维修等）以及人工包含在保修范围内。维保期间，必须保证液氦量不低于60%，保修期满时液氦量不的低于70%</w:t>
            </w:r>
          </w:p>
        </w:tc>
      </w:tr>
      <w:tr w14:paraId="2713BB16">
        <w:tblPrEx>
          <w:tblCellMar>
            <w:top w:w="0" w:type="dxa"/>
            <w:left w:w="108" w:type="dxa"/>
            <w:bottom w:w="0" w:type="dxa"/>
            <w:right w:w="108" w:type="dxa"/>
          </w:tblCellMar>
        </w:tblPrEx>
        <w:trPr>
          <w:trHeight w:val="584" w:hRule="atLeast"/>
          <w:jc w:val="center"/>
        </w:trPr>
        <w:tc>
          <w:tcPr>
            <w:tcW w:w="751" w:type="dxa"/>
            <w:tcBorders>
              <w:top w:val="nil"/>
              <w:left w:val="single" w:color="auto" w:sz="8" w:space="0"/>
              <w:bottom w:val="single" w:color="auto" w:sz="8" w:space="0"/>
              <w:right w:val="single" w:color="auto" w:sz="8" w:space="0"/>
            </w:tcBorders>
            <w:noWrap w:val="0"/>
            <w:vAlign w:val="center"/>
          </w:tcPr>
          <w:p w14:paraId="09509303">
            <w:pPr>
              <w:jc w:val="center"/>
              <w:rPr>
                <w:rFonts w:hint="eastAsia" w:ascii="仿宋" w:hAnsi="仿宋" w:eastAsia="仿宋" w:cs="仿宋"/>
                <w:sz w:val="24"/>
                <w:highlight w:val="none"/>
              </w:rPr>
            </w:pPr>
            <w:r>
              <w:rPr>
                <w:rFonts w:hint="eastAsia" w:ascii="仿宋" w:hAnsi="仿宋" w:eastAsia="仿宋" w:cs="仿宋"/>
                <w:sz w:val="24"/>
                <w:highlight w:val="none"/>
              </w:rPr>
              <w:t>2</w:t>
            </w:r>
          </w:p>
        </w:tc>
        <w:tc>
          <w:tcPr>
            <w:tcW w:w="2039" w:type="dxa"/>
            <w:tcBorders>
              <w:top w:val="nil"/>
              <w:left w:val="nil"/>
              <w:bottom w:val="single" w:color="auto" w:sz="8" w:space="0"/>
              <w:right w:val="single" w:color="auto" w:sz="4" w:space="0"/>
            </w:tcBorders>
            <w:noWrap w:val="0"/>
            <w:vAlign w:val="center"/>
          </w:tcPr>
          <w:p w14:paraId="25D8B176">
            <w:pPr>
              <w:rPr>
                <w:rFonts w:hint="eastAsia" w:ascii="仿宋" w:hAnsi="仿宋" w:eastAsia="仿宋" w:cs="仿宋"/>
                <w:sz w:val="24"/>
                <w:highlight w:val="none"/>
              </w:rPr>
            </w:pPr>
            <w:r>
              <w:rPr>
                <w:rFonts w:hint="eastAsia" w:ascii="仿宋" w:hAnsi="仿宋" w:eastAsia="仿宋" w:cs="仿宋"/>
                <w:sz w:val="24"/>
                <w:highlight w:val="none"/>
              </w:rPr>
              <w:t>开机率保证</w:t>
            </w:r>
          </w:p>
        </w:tc>
        <w:tc>
          <w:tcPr>
            <w:tcW w:w="5909" w:type="dxa"/>
            <w:tcBorders>
              <w:top w:val="nil"/>
              <w:left w:val="single" w:color="auto" w:sz="4" w:space="0"/>
              <w:bottom w:val="single" w:color="auto" w:sz="8" w:space="0"/>
              <w:right w:val="single" w:color="auto" w:sz="8" w:space="0"/>
            </w:tcBorders>
            <w:noWrap w:val="0"/>
            <w:vAlign w:val="center"/>
          </w:tcPr>
          <w:p w14:paraId="34F08F89">
            <w:pPr>
              <w:rPr>
                <w:rFonts w:hint="eastAsia" w:ascii="仿宋" w:hAnsi="仿宋" w:eastAsia="仿宋" w:cs="仿宋"/>
                <w:sz w:val="24"/>
                <w:highlight w:val="none"/>
              </w:rPr>
            </w:pPr>
            <w:r>
              <w:rPr>
                <w:rFonts w:hint="eastAsia" w:ascii="仿宋" w:hAnsi="仿宋" w:eastAsia="仿宋" w:cs="仿宋"/>
                <w:sz w:val="24"/>
                <w:highlight w:val="none"/>
              </w:rPr>
              <w:t>≥95%，每低于1%延长维保日期7天。</w:t>
            </w:r>
          </w:p>
        </w:tc>
      </w:tr>
      <w:tr w14:paraId="5D17B12E">
        <w:tblPrEx>
          <w:tblCellMar>
            <w:top w:w="0" w:type="dxa"/>
            <w:left w:w="108" w:type="dxa"/>
            <w:bottom w:w="0" w:type="dxa"/>
            <w:right w:w="108" w:type="dxa"/>
          </w:tblCellMar>
        </w:tblPrEx>
        <w:trPr>
          <w:trHeight w:val="647" w:hRule="atLeast"/>
          <w:jc w:val="center"/>
        </w:trPr>
        <w:tc>
          <w:tcPr>
            <w:tcW w:w="751" w:type="dxa"/>
            <w:tcBorders>
              <w:top w:val="nil"/>
              <w:left w:val="single" w:color="auto" w:sz="8" w:space="0"/>
              <w:bottom w:val="single" w:color="auto" w:sz="8" w:space="0"/>
              <w:right w:val="single" w:color="auto" w:sz="8" w:space="0"/>
            </w:tcBorders>
            <w:noWrap w:val="0"/>
            <w:vAlign w:val="center"/>
          </w:tcPr>
          <w:p w14:paraId="1D7D219A">
            <w:pPr>
              <w:jc w:val="center"/>
              <w:rPr>
                <w:rFonts w:hint="eastAsia" w:ascii="仿宋" w:hAnsi="仿宋" w:eastAsia="仿宋" w:cs="仿宋"/>
                <w:sz w:val="24"/>
                <w:highlight w:val="none"/>
              </w:rPr>
            </w:pPr>
            <w:r>
              <w:rPr>
                <w:rFonts w:hint="eastAsia" w:ascii="仿宋" w:hAnsi="仿宋" w:eastAsia="仿宋" w:cs="仿宋"/>
                <w:sz w:val="24"/>
                <w:highlight w:val="none"/>
              </w:rPr>
              <w:t>3</w:t>
            </w:r>
          </w:p>
        </w:tc>
        <w:tc>
          <w:tcPr>
            <w:tcW w:w="2039" w:type="dxa"/>
            <w:tcBorders>
              <w:top w:val="nil"/>
              <w:left w:val="nil"/>
              <w:bottom w:val="single" w:color="auto" w:sz="8" w:space="0"/>
              <w:right w:val="single" w:color="auto" w:sz="4" w:space="0"/>
            </w:tcBorders>
            <w:noWrap w:val="0"/>
            <w:vAlign w:val="center"/>
          </w:tcPr>
          <w:p w14:paraId="1EC5BC4A">
            <w:pPr>
              <w:rPr>
                <w:rFonts w:hint="eastAsia" w:ascii="仿宋" w:hAnsi="仿宋" w:eastAsia="仿宋" w:cs="仿宋"/>
                <w:sz w:val="24"/>
                <w:highlight w:val="none"/>
              </w:rPr>
            </w:pPr>
            <w:r>
              <w:rPr>
                <w:rFonts w:hint="eastAsia" w:ascii="仿宋" w:hAnsi="仿宋" w:eastAsia="仿宋" w:cs="仿宋"/>
                <w:sz w:val="24"/>
                <w:highlight w:val="none"/>
              </w:rPr>
              <w:t>响应时间</w:t>
            </w:r>
          </w:p>
        </w:tc>
        <w:tc>
          <w:tcPr>
            <w:tcW w:w="5909" w:type="dxa"/>
            <w:tcBorders>
              <w:top w:val="nil"/>
              <w:left w:val="single" w:color="auto" w:sz="4" w:space="0"/>
              <w:bottom w:val="single" w:color="auto" w:sz="8" w:space="0"/>
              <w:right w:val="single" w:color="auto" w:sz="8" w:space="0"/>
            </w:tcBorders>
            <w:noWrap w:val="0"/>
            <w:vAlign w:val="center"/>
          </w:tcPr>
          <w:p w14:paraId="1AF074FE">
            <w:pPr>
              <w:rPr>
                <w:rFonts w:hint="eastAsia" w:ascii="仿宋" w:hAnsi="仿宋" w:eastAsia="仿宋" w:cs="仿宋"/>
                <w:sz w:val="24"/>
                <w:highlight w:val="none"/>
              </w:rPr>
            </w:pPr>
            <w:r>
              <w:rPr>
                <w:rFonts w:hint="eastAsia" w:ascii="仿宋" w:hAnsi="仿宋" w:eastAsia="仿宋" w:cs="仿宋"/>
                <w:sz w:val="24"/>
                <w:highlight w:val="none"/>
              </w:rPr>
              <w:t>故障报修后1小时内电话响应，宕机情况下24小时内工程师必须赶到现场进行维修。</w:t>
            </w:r>
          </w:p>
        </w:tc>
      </w:tr>
      <w:tr w14:paraId="7C0D54CE">
        <w:tblPrEx>
          <w:tblCellMar>
            <w:top w:w="0" w:type="dxa"/>
            <w:left w:w="108" w:type="dxa"/>
            <w:bottom w:w="0" w:type="dxa"/>
            <w:right w:w="108" w:type="dxa"/>
          </w:tblCellMar>
        </w:tblPrEx>
        <w:trPr>
          <w:trHeight w:val="685" w:hRule="atLeast"/>
          <w:jc w:val="center"/>
        </w:trPr>
        <w:tc>
          <w:tcPr>
            <w:tcW w:w="751" w:type="dxa"/>
            <w:tcBorders>
              <w:top w:val="nil"/>
              <w:left w:val="single" w:color="auto" w:sz="8" w:space="0"/>
              <w:bottom w:val="single" w:color="auto" w:sz="8" w:space="0"/>
              <w:right w:val="single" w:color="auto" w:sz="8" w:space="0"/>
            </w:tcBorders>
            <w:noWrap w:val="0"/>
            <w:vAlign w:val="center"/>
          </w:tcPr>
          <w:p w14:paraId="6739F771">
            <w:pPr>
              <w:jc w:val="center"/>
              <w:rPr>
                <w:rFonts w:hint="eastAsia" w:ascii="仿宋" w:hAnsi="仿宋" w:eastAsia="仿宋" w:cs="仿宋"/>
                <w:sz w:val="24"/>
                <w:highlight w:val="none"/>
              </w:rPr>
            </w:pPr>
            <w:r>
              <w:rPr>
                <w:rFonts w:hint="eastAsia" w:ascii="仿宋" w:hAnsi="仿宋" w:eastAsia="仿宋" w:cs="仿宋"/>
                <w:sz w:val="24"/>
                <w:highlight w:val="none"/>
              </w:rPr>
              <w:t>4</w:t>
            </w:r>
          </w:p>
        </w:tc>
        <w:tc>
          <w:tcPr>
            <w:tcW w:w="2039" w:type="dxa"/>
            <w:tcBorders>
              <w:top w:val="nil"/>
              <w:left w:val="nil"/>
              <w:bottom w:val="single" w:color="auto" w:sz="8" w:space="0"/>
              <w:right w:val="single" w:color="auto" w:sz="4" w:space="0"/>
            </w:tcBorders>
            <w:noWrap w:val="0"/>
            <w:vAlign w:val="center"/>
          </w:tcPr>
          <w:p w14:paraId="73307452">
            <w:pPr>
              <w:rPr>
                <w:rFonts w:hint="eastAsia" w:ascii="仿宋" w:hAnsi="仿宋" w:eastAsia="仿宋" w:cs="仿宋"/>
                <w:sz w:val="24"/>
                <w:highlight w:val="none"/>
              </w:rPr>
            </w:pPr>
            <w:r>
              <w:rPr>
                <w:rFonts w:hint="eastAsia" w:ascii="仿宋" w:hAnsi="仿宋" w:eastAsia="仿宋" w:cs="仿宋"/>
                <w:sz w:val="24"/>
                <w:highlight w:val="none"/>
              </w:rPr>
              <w:t>具有800或400电话支持热线</w:t>
            </w:r>
          </w:p>
        </w:tc>
        <w:tc>
          <w:tcPr>
            <w:tcW w:w="5909" w:type="dxa"/>
            <w:tcBorders>
              <w:top w:val="nil"/>
              <w:left w:val="single" w:color="auto" w:sz="4" w:space="0"/>
              <w:bottom w:val="single" w:color="auto" w:sz="8" w:space="0"/>
              <w:right w:val="single" w:color="auto" w:sz="8" w:space="0"/>
            </w:tcBorders>
            <w:noWrap w:val="0"/>
            <w:vAlign w:val="center"/>
          </w:tcPr>
          <w:p w14:paraId="5D3A80D9">
            <w:pPr>
              <w:rPr>
                <w:rFonts w:hint="eastAsia" w:ascii="仿宋" w:hAnsi="仿宋" w:eastAsia="仿宋" w:cs="仿宋"/>
                <w:sz w:val="24"/>
                <w:highlight w:val="none"/>
              </w:rPr>
            </w:pPr>
            <w:r>
              <w:rPr>
                <w:rFonts w:hint="eastAsia" w:ascii="仿宋" w:hAnsi="仿宋" w:eastAsia="仿宋" w:cs="仿宋"/>
                <w:sz w:val="24"/>
                <w:highlight w:val="none"/>
              </w:rPr>
              <w:t>提供800或400号码，</w:t>
            </w:r>
            <w:r>
              <w:rPr>
                <w:rFonts w:hint="eastAsia" w:ascii="仿宋" w:hAnsi="仿宋" w:eastAsia="仿宋" w:cs="仿宋"/>
                <w:kern w:val="0"/>
                <w:sz w:val="24"/>
                <w:highlight w:val="none"/>
              </w:rPr>
              <w:t>并提供365天，7*24小时热线支持。</w:t>
            </w:r>
          </w:p>
        </w:tc>
      </w:tr>
      <w:tr w14:paraId="75312E86">
        <w:tblPrEx>
          <w:tblCellMar>
            <w:top w:w="0" w:type="dxa"/>
            <w:left w:w="108" w:type="dxa"/>
            <w:bottom w:w="0" w:type="dxa"/>
            <w:right w:w="108" w:type="dxa"/>
          </w:tblCellMar>
        </w:tblPrEx>
        <w:trPr>
          <w:trHeight w:val="960" w:hRule="atLeast"/>
          <w:jc w:val="center"/>
        </w:trPr>
        <w:tc>
          <w:tcPr>
            <w:tcW w:w="751" w:type="dxa"/>
            <w:tcBorders>
              <w:top w:val="nil"/>
              <w:left w:val="single" w:color="auto" w:sz="8" w:space="0"/>
              <w:bottom w:val="single" w:color="auto" w:sz="8" w:space="0"/>
              <w:right w:val="single" w:color="auto" w:sz="8" w:space="0"/>
            </w:tcBorders>
            <w:noWrap w:val="0"/>
            <w:vAlign w:val="center"/>
          </w:tcPr>
          <w:p w14:paraId="610E6607">
            <w:pPr>
              <w:jc w:val="center"/>
              <w:rPr>
                <w:rFonts w:hint="eastAsia" w:ascii="仿宋" w:hAnsi="仿宋" w:eastAsia="仿宋" w:cs="仿宋"/>
                <w:sz w:val="24"/>
                <w:highlight w:val="none"/>
              </w:rPr>
            </w:pPr>
            <w:r>
              <w:rPr>
                <w:rFonts w:hint="eastAsia" w:ascii="仿宋" w:hAnsi="仿宋" w:eastAsia="仿宋" w:cs="仿宋"/>
                <w:sz w:val="24"/>
                <w:highlight w:val="none"/>
              </w:rPr>
              <w:t>#5</w:t>
            </w:r>
          </w:p>
        </w:tc>
        <w:tc>
          <w:tcPr>
            <w:tcW w:w="2039" w:type="dxa"/>
            <w:tcBorders>
              <w:top w:val="nil"/>
              <w:left w:val="nil"/>
              <w:bottom w:val="single" w:color="auto" w:sz="8" w:space="0"/>
              <w:right w:val="single" w:color="auto" w:sz="4" w:space="0"/>
            </w:tcBorders>
            <w:noWrap w:val="0"/>
            <w:vAlign w:val="center"/>
          </w:tcPr>
          <w:p w14:paraId="461B4C77">
            <w:pPr>
              <w:rPr>
                <w:rFonts w:hint="eastAsia" w:ascii="仿宋" w:hAnsi="仿宋" w:eastAsia="仿宋" w:cs="仿宋"/>
                <w:sz w:val="24"/>
                <w:highlight w:val="none"/>
              </w:rPr>
            </w:pPr>
            <w:r>
              <w:rPr>
                <w:rFonts w:hint="eastAsia" w:ascii="仿宋" w:hAnsi="仿宋" w:eastAsia="仿宋" w:cs="仿宋"/>
                <w:sz w:val="24"/>
                <w:highlight w:val="none"/>
              </w:rPr>
              <w:t>维保公司专职工程师人数</w:t>
            </w:r>
          </w:p>
        </w:tc>
        <w:tc>
          <w:tcPr>
            <w:tcW w:w="5909" w:type="dxa"/>
            <w:tcBorders>
              <w:top w:val="nil"/>
              <w:left w:val="single" w:color="auto" w:sz="4" w:space="0"/>
              <w:bottom w:val="single" w:color="auto" w:sz="8" w:space="0"/>
              <w:right w:val="single" w:color="auto" w:sz="8" w:space="0"/>
            </w:tcBorders>
            <w:noWrap w:val="0"/>
            <w:vAlign w:val="center"/>
          </w:tcPr>
          <w:p w14:paraId="6A4FC669">
            <w:pPr>
              <w:rPr>
                <w:rFonts w:hint="eastAsia" w:ascii="仿宋" w:hAnsi="仿宋" w:eastAsia="仿宋" w:cs="仿宋"/>
                <w:sz w:val="24"/>
                <w:highlight w:val="none"/>
              </w:rPr>
            </w:pPr>
            <w:r>
              <w:rPr>
                <w:rFonts w:hint="eastAsia" w:ascii="仿宋" w:hAnsi="仿宋" w:eastAsia="仿宋" w:cs="仿宋"/>
                <w:sz w:val="24"/>
                <w:highlight w:val="none"/>
              </w:rPr>
              <w:t>省内专职工程师人数≥2个。提供经过原设备制造商培训，具备此类设备专业维修能力的培训证书。</w:t>
            </w:r>
          </w:p>
        </w:tc>
      </w:tr>
      <w:tr w14:paraId="5EFB06FC">
        <w:tblPrEx>
          <w:tblCellMar>
            <w:top w:w="0" w:type="dxa"/>
            <w:left w:w="108" w:type="dxa"/>
            <w:bottom w:w="0" w:type="dxa"/>
            <w:right w:w="108" w:type="dxa"/>
          </w:tblCellMar>
        </w:tblPrEx>
        <w:trPr>
          <w:trHeight w:val="647" w:hRule="atLeast"/>
          <w:jc w:val="center"/>
        </w:trPr>
        <w:tc>
          <w:tcPr>
            <w:tcW w:w="751" w:type="dxa"/>
            <w:tcBorders>
              <w:top w:val="nil"/>
              <w:left w:val="single" w:color="auto" w:sz="8" w:space="0"/>
              <w:bottom w:val="single" w:color="auto" w:sz="8" w:space="0"/>
              <w:right w:val="single" w:color="auto" w:sz="8" w:space="0"/>
            </w:tcBorders>
            <w:noWrap w:val="0"/>
            <w:vAlign w:val="center"/>
          </w:tcPr>
          <w:p w14:paraId="081E6DC9">
            <w:pPr>
              <w:jc w:val="center"/>
              <w:rPr>
                <w:rFonts w:hint="eastAsia" w:ascii="仿宋" w:hAnsi="仿宋" w:eastAsia="仿宋" w:cs="仿宋"/>
                <w:sz w:val="24"/>
                <w:highlight w:val="none"/>
              </w:rPr>
            </w:pPr>
            <w:r>
              <w:rPr>
                <w:rFonts w:hint="eastAsia" w:ascii="仿宋" w:hAnsi="仿宋" w:eastAsia="仿宋" w:cs="仿宋"/>
                <w:sz w:val="24"/>
                <w:highlight w:val="none"/>
              </w:rPr>
              <w:t>6</w:t>
            </w:r>
          </w:p>
        </w:tc>
        <w:tc>
          <w:tcPr>
            <w:tcW w:w="2039" w:type="dxa"/>
            <w:tcBorders>
              <w:top w:val="nil"/>
              <w:left w:val="nil"/>
              <w:bottom w:val="single" w:color="auto" w:sz="8" w:space="0"/>
              <w:right w:val="single" w:color="auto" w:sz="4" w:space="0"/>
            </w:tcBorders>
            <w:noWrap w:val="0"/>
            <w:vAlign w:val="center"/>
          </w:tcPr>
          <w:p w14:paraId="54B34830">
            <w:pPr>
              <w:rPr>
                <w:rFonts w:hint="eastAsia" w:ascii="仿宋" w:hAnsi="仿宋" w:eastAsia="仿宋" w:cs="仿宋"/>
                <w:sz w:val="24"/>
                <w:highlight w:val="none"/>
              </w:rPr>
            </w:pPr>
            <w:r>
              <w:rPr>
                <w:rFonts w:hint="eastAsia" w:ascii="仿宋" w:hAnsi="仿宋" w:eastAsia="仿宋" w:cs="仿宋"/>
                <w:sz w:val="24"/>
                <w:highlight w:val="none"/>
              </w:rPr>
              <w:t>零备件质量保证及承诺</w:t>
            </w:r>
          </w:p>
        </w:tc>
        <w:tc>
          <w:tcPr>
            <w:tcW w:w="5909" w:type="dxa"/>
            <w:tcBorders>
              <w:top w:val="nil"/>
              <w:left w:val="single" w:color="auto" w:sz="4" w:space="0"/>
              <w:bottom w:val="single" w:color="auto" w:sz="8" w:space="0"/>
              <w:right w:val="single" w:color="auto" w:sz="8" w:space="0"/>
            </w:tcBorders>
            <w:noWrap w:val="0"/>
            <w:vAlign w:val="center"/>
          </w:tcPr>
          <w:p w14:paraId="211D5A58">
            <w:pPr>
              <w:rPr>
                <w:rFonts w:hint="eastAsia" w:ascii="仿宋" w:hAnsi="仿宋" w:eastAsia="仿宋" w:cs="仿宋"/>
                <w:sz w:val="24"/>
                <w:highlight w:val="none"/>
              </w:rPr>
            </w:pPr>
            <w:r>
              <w:rPr>
                <w:rFonts w:hint="eastAsia" w:ascii="仿宋" w:hAnsi="仿宋" w:eastAsia="仿宋" w:cs="仿宋"/>
                <w:sz w:val="24"/>
                <w:highlight w:val="none"/>
              </w:rPr>
              <w:t>所有零备件（包含磁体、液氦、冷头及其更换、压缩机吸附器）承诺提供合格配件。</w:t>
            </w:r>
          </w:p>
        </w:tc>
      </w:tr>
      <w:tr w14:paraId="52C8C57D">
        <w:tblPrEx>
          <w:tblCellMar>
            <w:top w:w="0" w:type="dxa"/>
            <w:left w:w="108" w:type="dxa"/>
            <w:bottom w:w="0" w:type="dxa"/>
            <w:right w:w="108" w:type="dxa"/>
          </w:tblCellMar>
        </w:tblPrEx>
        <w:trPr>
          <w:trHeight w:val="1275" w:hRule="atLeast"/>
          <w:jc w:val="center"/>
        </w:trPr>
        <w:tc>
          <w:tcPr>
            <w:tcW w:w="751" w:type="dxa"/>
            <w:tcBorders>
              <w:top w:val="nil"/>
              <w:left w:val="single" w:color="auto" w:sz="8" w:space="0"/>
              <w:bottom w:val="single" w:color="auto" w:sz="8" w:space="0"/>
              <w:right w:val="single" w:color="auto" w:sz="8" w:space="0"/>
            </w:tcBorders>
            <w:noWrap w:val="0"/>
            <w:vAlign w:val="center"/>
          </w:tcPr>
          <w:p w14:paraId="4170E6E2">
            <w:pPr>
              <w:jc w:val="center"/>
              <w:rPr>
                <w:rFonts w:hint="eastAsia" w:ascii="仿宋" w:hAnsi="仿宋" w:eastAsia="仿宋" w:cs="仿宋"/>
                <w:sz w:val="24"/>
                <w:highlight w:val="none"/>
              </w:rPr>
            </w:pPr>
            <w:r>
              <w:rPr>
                <w:rFonts w:hint="eastAsia" w:ascii="仿宋" w:hAnsi="仿宋" w:eastAsia="仿宋" w:cs="仿宋"/>
                <w:sz w:val="24"/>
                <w:highlight w:val="none"/>
              </w:rPr>
              <w:t>7</w:t>
            </w:r>
          </w:p>
        </w:tc>
        <w:tc>
          <w:tcPr>
            <w:tcW w:w="2039" w:type="dxa"/>
            <w:tcBorders>
              <w:top w:val="nil"/>
              <w:left w:val="nil"/>
              <w:bottom w:val="single" w:color="auto" w:sz="8" w:space="0"/>
              <w:right w:val="single" w:color="auto" w:sz="4" w:space="0"/>
            </w:tcBorders>
            <w:noWrap w:val="0"/>
            <w:vAlign w:val="center"/>
          </w:tcPr>
          <w:p w14:paraId="6182C1F4">
            <w:pPr>
              <w:rPr>
                <w:rFonts w:hint="eastAsia" w:ascii="仿宋" w:hAnsi="仿宋" w:eastAsia="仿宋" w:cs="仿宋"/>
                <w:sz w:val="24"/>
                <w:highlight w:val="none"/>
              </w:rPr>
            </w:pPr>
            <w:r>
              <w:rPr>
                <w:rFonts w:hint="eastAsia" w:ascii="仿宋" w:hAnsi="仿宋" w:eastAsia="仿宋" w:cs="仿宋"/>
                <w:sz w:val="24"/>
                <w:highlight w:val="none"/>
              </w:rPr>
              <w:t>维护保养</w:t>
            </w:r>
          </w:p>
        </w:tc>
        <w:tc>
          <w:tcPr>
            <w:tcW w:w="5909" w:type="dxa"/>
            <w:tcBorders>
              <w:top w:val="nil"/>
              <w:left w:val="single" w:color="auto" w:sz="4" w:space="0"/>
              <w:bottom w:val="single" w:color="auto" w:sz="8" w:space="0"/>
              <w:right w:val="single" w:color="auto" w:sz="8" w:space="0"/>
            </w:tcBorders>
            <w:noWrap w:val="0"/>
            <w:vAlign w:val="center"/>
          </w:tcPr>
          <w:p w14:paraId="67A9C632">
            <w:pPr>
              <w:rPr>
                <w:rFonts w:hint="eastAsia" w:ascii="仿宋" w:hAnsi="仿宋" w:eastAsia="仿宋" w:cs="仿宋"/>
                <w:sz w:val="24"/>
                <w:highlight w:val="none"/>
              </w:rPr>
            </w:pPr>
            <w:r>
              <w:rPr>
                <w:rFonts w:hint="eastAsia" w:ascii="仿宋" w:hAnsi="仿宋" w:eastAsia="仿宋" w:cs="仿宋"/>
                <w:sz w:val="24"/>
                <w:highlight w:val="none"/>
              </w:rPr>
              <w:t>保修期间中标单位应按规范实施对设备的常规保养，</w:t>
            </w:r>
            <w:r>
              <w:rPr>
                <w:rStyle w:val="4"/>
                <w:rFonts w:hint="eastAsia" w:ascii="仿宋" w:hAnsi="仿宋" w:eastAsia="仿宋" w:cs="仿宋"/>
                <w:b w:val="0"/>
                <w:sz w:val="24"/>
                <w:highlight w:val="none"/>
              </w:rPr>
              <w:t>一年维护保养次数≥4次</w:t>
            </w:r>
            <w:r>
              <w:rPr>
                <w:rFonts w:hint="eastAsia" w:ascii="仿宋" w:hAnsi="仿宋" w:eastAsia="仿宋" w:cs="仿宋"/>
                <w:sz w:val="24"/>
                <w:highlight w:val="none"/>
              </w:rPr>
              <w:t>，其中床垫、头垫附件2年更换一次；每次进行维保工作均应出具正规维保工作报告并由双方相关人员进行签字确认。</w:t>
            </w:r>
          </w:p>
        </w:tc>
      </w:tr>
      <w:tr w14:paraId="57907724">
        <w:tblPrEx>
          <w:tblCellMar>
            <w:top w:w="0" w:type="dxa"/>
            <w:left w:w="108" w:type="dxa"/>
            <w:bottom w:w="0" w:type="dxa"/>
            <w:right w:w="108" w:type="dxa"/>
          </w:tblCellMar>
        </w:tblPrEx>
        <w:trPr>
          <w:trHeight w:val="960" w:hRule="atLeast"/>
          <w:jc w:val="center"/>
        </w:trPr>
        <w:tc>
          <w:tcPr>
            <w:tcW w:w="751" w:type="dxa"/>
            <w:tcBorders>
              <w:top w:val="single" w:color="auto" w:sz="8" w:space="0"/>
              <w:left w:val="single" w:color="auto" w:sz="8" w:space="0"/>
              <w:bottom w:val="single" w:color="auto" w:sz="4" w:space="0"/>
              <w:right w:val="single" w:color="auto" w:sz="8" w:space="0"/>
            </w:tcBorders>
            <w:noWrap w:val="0"/>
            <w:vAlign w:val="center"/>
          </w:tcPr>
          <w:p w14:paraId="30B1B910">
            <w:pPr>
              <w:jc w:val="center"/>
              <w:rPr>
                <w:rFonts w:hint="eastAsia" w:ascii="仿宋" w:hAnsi="仿宋" w:eastAsia="仿宋" w:cs="仿宋"/>
                <w:sz w:val="24"/>
                <w:highlight w:val="none"/>
              </w:rPr>
            </w:pPr>
            <w:r>
              <w:rPr>
                <w:rFonts w:hint="eastAsia" w:ascii="仿宋" w:hAnsi="仿宋" w:eastAsia="仿宋" w:cs="仿宋"/>
                <w:sz w:val="24"/>
                <w:highlight w:val="none"/>
              </w:rPr>
              <w:t>8</w:t>
            </w:r>
          </w:p>
        </w:tc>
        <w:tc>
          <w:tcPr>
            <w:tcW w:w="2039" w:type="dxa"/>
            <w:tcBorders>
              <w:top w:val="single" w:color="auto" w:sz="8" w:space="0"/>
              <w:left w:val="nil"/>
              <w:bottom w:val="single" w:color="auto" w:sz="4" w:space="0"/>
              <w:right w:val="single" w:color="auto" w:sz="4" w:space="0"/>
            </w:tcBorders>
            <w:noWrap w:val="0"/>
            <w:vAlign w:val="center"/>
          </w:tcPr>
          <w:p w14:paraId="1EB26446">
            <w:pPr>
              <w:rPr>
                <w:rFonts w:hint="eastAsia" w:ascii="仿宋" w:hAnsi="仿宋" w:eastAsia="仿宋" w:cs="仿宋"/>
                <w:sz w:val="24"/>
                <w:highlight w:val="none"/>
              </w:rPr>
            </w:pPr>
            <w:r>
              <w:rPr>
                <w:rFonts w:hint="eastAsia" w:ascii="仿宋" w:hAnsi="仿宋" w:eastAsia="仿宋" w:cs="仿宋"/>
                <w:sz w:val="24"/>
                <w:highlight w:val="none"/>
              </w:rPr>
              <w:t>具备互联网远程故障排除能力</w:t>
            </w:r>
          </w:p>
        </w:tc>
        <w:tc>
          <w:tcPr>
            <w:tcW w:w="5909" w:type="dxa"/>
            <w:tcBorders>
              <w:top w:val="single" w:color="auto" w:sz="8" w:space="0"/>
              <w:left w:val="single" w:color="auto" w:sz="4" w:space="0"/>
              <w:bottom w:val="single" w:color="auto" w:sz="4" w:space="0"/>
              <w:right w:val="single" w:color="auto" w:sz="8" w:space="0"/>
            </w:tcBorders>
            <w:noWrap w:val="0"/>
            <w:vAlign w:val="center"/>
          </w:tcPr>
          <w:p w14:paraId="553923A5">
            <w:pPr>
              <w:rPr>
                <w:rFonts w:hint="eastAsia" w:ascii="仿宋" w:hAnsi="仿宋" w:eastAsia="仿宋" w:cs="仿宋"/>
                <w:sz w:val="24"/>
                <w:highlight w:val="none"/>
              </w:rPr>
            </w:pPr>
            <w:r>
              <w:rPr>
                <w:rFonts w:hint="eastAsia" w:ascii="仿宋" w:hAnsi="仿宋" w:eastAsia="仿宋" w:cs="仿宋"/>
                <w:sz w:val="24"/>
                <w:highlight w:val="none"/>
              </w:rPr>
              <w:t>能通过互联网连接远程进行故障排除，能通过互联网连接进行远程应用支持且可以实时显示操作界面。</w:t>
            </w:r>
          </w:p>
        </w:tc>
      </w:tr>
    </w:tbl>
    <w:p w14:paraId="0580080C">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E22DA8"/>
    <w:rsid w:val="5DE67457"/>
    <w:rsid w:val="733209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qFormat/>
    <w:uiPriority w:val="22"/>
    <w:rPr>
      <w:b/>
      <w:bCs/>
    </w:rPr>
  </w:style>
  <w:style w:type="paragraph" w:customStyle="1" w:styleId="5">
    <w:name w:val="Table Paragraph"/>
    <w:basedOn w:val="1"/>
    <w:qFormat/>
    <w:uiPriority w:val="1"/>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2025-03-28T01:39:00Z</dcterms:created>
  <dc:creator>Administrator</dc:creator>
  <cp:lastModifiedBy>心宽体胖睡的香</cp:lastModifiedBy>
  <dcterms:modified xsi:type="dcterms:W3CDTF">2026-06-01T02:51:47Z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0C9235F2F6754F938D8F63AF8182A6BB_12</vt:lpwstr>
  </property>
  <property fmtid="{D5CDD505-2E9C-101B-9397-08002B2CF9AE}" pid="4" name="KSOTemplateDocerSaveRecord">
    <vt:lpwstr>eyJoZGlkIjoiNGZiZWRlMjA2Nzk5ZmI0MDM2ZjQ3MTM4NWZiNjBlY2MiLCJ1c2VySWQiOiIyNTI1Njg3OTUifQ==</vt:lpwstr>
  </property>
</Properties>
</file>