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hAnsi="宋体" w:eastAsia="黑体"/>
          <w:sz w:val="24"/>
        </w:rPr>
      </w:pPr>
      <w:r>
        <w:rPr>
          <w:rFonts w:hint="eastAsia" w:ascii="黑体" w:hAnsi="宋体" w:eastAsia="黑体"/>
          <w:szCs w:val="21"/>
        </w:rPr>
        <w:t>（</w:t>
      </w:r>
      <w:r>
        <w:rPr>
          <w:rFonts w:hint="eastAsia" w:ascii="黑体" w:hAnsi="宋体" w:eastAsia="黑体"/>
          <w:color w:val="FF0000"/>
          <w:szCs w:val="21"/>
        </w:rPr>
        <w:t>202</w:t>
      </w:r>
      <w:r>
        <w:rPr>
          <w:rFonts w:hint="eastAsia" w:ascii="黑体" w:hAnsi="宋体" w:eastAsia="黑体"/>
          <w:color w:val="FF0000"/>
          <w:szCs w:val="21"/>
          <w:lang w:val="en-US" w:eastAsia="zh-CN"/>
        </w:rPr>
        <w:t>3</w:t>
      </w:r>
      <w:r>
        <w:rPr>
          <w:rFonts w:ascii="黑体" w:hAnsi="宋体" w:eastAsia="黑体"/>
          <w:color w:val="FF0000"/>
          <w:szCs w:val="21"/>
        </w:rPr>
        <w:t>-</w:t>
      </w:r>
      <w:r>
        <w:rPr>
          <w:rFonts w:hint="eastAsia" w:ascii="黑体" w:hAnsi="宋体" w:eastAsia="黑体"/>
          <w:color w:val="FF0000"/>
          <w:szCs w:val="21"/>
          <w:lang w:val="en-US" w:eastAsia="zh-CN"/>
        </w:rPr>
        <w:t>06</w:t>
      </w:r>
      <w:r>
        <w:rPr>
          <w:rFonts w:hint="eastAsia" w:ascii="黑体" w:hAnsi="宋体" w:eastAsia="黑体"/>
          <w:color w:val="auto"/>
          <w:szCs w:val="21"/>
          <w:lang w:val="en-US" w:eastAsia="zh-CN"/>
        </w:rPr>
        <w:t>青岛市通用系统单信封</w:t>
      </w:r>
      <w:r>
        <w:rPr>
          <w:rFonts w:ascii="黑体" w:hAnsi="宋体" w:eastAsia="黑体"/>
          <w:szCs w:val="21"/>
        </w:rPr>
        <w:t>招标</w:t>
      </w:r>
      <w:r>
        <w:rPr>
          <w:rFonts w:hint="eastAsia" w:ascii="黑体" w:hAnsi="宋体" w:eastAsia="黑体"/>
          <w:szCs w:val="21"/>
        </w:rPr>
        <w:t>文件模板）</w:t>
      </w:r>
    </w:p>
    <w:p>
      <w:pPr>
        <w:pStyle w:val="14"/>
        <w:snapToGrid w:val="0"/>
        <w:jc w:val="center"/>
        <w:rPr>
          <w:rFonts w:ascii="宋体"/>
          <w:b/>
          <w:bCs/>
          <w:sz w:val="48"/>
          <w:szCs w:val="48"/>
        </w:rPr>
      </w:pPr>
    </w:p>
    <w:p>
      <w:pPr>
        <w:jc w:val="center"/>
        <w:rPr>
          <w:rFonts w:ascii="黑体" w:hAnsi="宋体" w:eastAsia="黑体"/>
          <w:b/>
          <w:sz w:val="48"/>
          <w:szCs w:val="48"/>
          <w:u w:val="single"/>
        </w:rPr>
      </w:pPr>
      <w:r>
        <w:rPr>
          <w:rFonts w:hint="eastAsia" w:ascii="黑体" w:hAnsi="宋体" w:eastAsia="黑体"/>
          <w:b/>
          <w:sz w:val="48"/>
          <w:szCs w:val="48"/>
          <w:u w:val="single"/>
        </w:rPr>
        <w:t>项目名称</w:t>
      </w:r>
    </w:p>
    <w:p>
      <w:pPr>
        <w:jc w:val="center"/>
        <w:rPr>
          <w:rFonts w:ascii="黑体" w:hAnsi="宋体" w:eastAsia="黑体"/>
          <w:b/>
          <w:sz w:val="48"/>
          <w:szCs w:val="48"/>
        </w:rPr>
      </w:pPr>
      <w:r>
        <w:rPr>
          <w:rFonts w:hint="eastAsia" w:ascii="黑体" w:hAnsi="宋体" w:eastAsia="黑体"/>
          <w:b/>
          <w:sz w:val="48"/>
          <w:szCs w:val="48"/>
          <w:u w:val="single"/>
        </w:rPr>
        <w:t>（标段）</w:t>
      </w:r>
    </w:p>
    <w:p>
      <w:pPr>
        <w:jc w:val="center"/>
        <w:rPr>
          <w:rFonts w:ascii="黑体" w:hAnsi="宋体" w:eastAsia="黑体"/>
          <w:b/>
          <w:sz w:val="32"/>
          <w:szCs w:val="32"/>
        </w:rPr>
      </w:pPr>
    </w:p>
    <w:p>
      <w:pPr>
        <w:pStyle w:val="14"/>
        <w:rPr>
          <w:rFonts w:ascii="楷体_GB2312" w:eastAsia="楷体_GB2312"/>
          <w:sz w:val="48"/>
          <w:szCs w:val="48"/>
        </w:rPr>
      </w:pPr>
    </w:p>
    <w:p>
      <w:pPr>
        <w:pStyle w:val="14"/>
        <w:rPr>
          <w:rFonts w:ascii="楷体_GB2312" w:eastAsia="楷体_GB2312"/>
          <w:sz w:val="48"/>
          <w:szCs w:val="48"/>
        </w:rPr>
      </w:pPr>
    </w:p>
    <w:p>
      <w:pPr>
        <w:pStyle w:val="14"/>
        <w:rPr>
          <w:rFonts w:ascii="楷体_GB2312" w:eastAsia="楷体_GB2312"/>
          <w:sz w:val="48"/>
          <w:szCs w:val="48"/>
        </w:rPr>
      </w:pPr>
    </w:p>
    <w:p>
      <w:pPr>
        <w:pStyle w:val="14"/>
        <w:rPr>
          <w:rFonts w:ascii="楷体_GB2312" w:eastAsia="楷体_GB2312"/>
          <w:sz w:val="48"/>
          <w:szCs w:val="48"/>
        </w:rPr>
      </w:pPr>
    </w:p>
    <w:p>
      <w:pPr>
        <w:pStyle w:val="14"/>
        <w:rPr>
          <w:rFonts w:ascii="楷体_GB2312" w:eastAsia="楷体_GB2312"/>
          <w:sz w:val="48"/>
          <w:szCs w:val="48"/>
        </w:rPr>
      </w:pPr>
    </w:p>
    <w:p>
      <w:pPr>
        <w:pStyle w:val="14"/>
        <w:jc w:val="center"/>
        <w:rPr>
          <w:rFonts w:ascii="黑体" w:eastAsia="黑体"/>
          <w:sz w:val="84"/>
          <w:szCs w:val="84"/>
        </w:rPr>
      </w:pPr>
      <w:r>
        <w:rPr>
          <w:rFonts w:hint="eastAsia" w:ascii="黑体" w:eastAsia="黑体"/>
          <w:sz w:val="84"/>
          <w:szCs w:val="84"/>
        </w:rPr>
        <w:t>招标文件</w:t>
      </w:r>
    </w:p>
    <w:p>
      <w:pPr>
        <w:rPr>
          <w:rFonts w:ascii="宋体"/>
          <w:sz w:val="28"/>
        </w:rPr>
      </w:pPr>
    </w:p>
    <w:p>
      <w:pPr>
        <w:rPr>
          <w:rFonts w:ascii="宋体"/>
          <w:sz w:val="28"/>
        </w:rPr>
      </w:pPr>
    </w:p>
    <w:p>
      <w:pPr>
        <w:rPr>
          <w:rFonts w:ascii="宋体"/>
          <w:sz w:val="28"/>
        </w:rPr>
      </w:pPr>
    </w:p>
    <w:p>
      <w:pPr>
        <w:ind w:firstLine="1184" w:firstLineChars="393"/>
        <w:rPr>
          <w:rFonts w:ascii="宋体"/>
          <w:b/>
          <w:bCs/>
          <w:sz w:val="30"/>
        </w:rPr>
      </w:pPr>
    </w:p>
    <w:p>
      <w:pPr>
        <w:ind w:firstLine="1184" w:firstLineChars="393"/>
        <w:rPr>
          <w:rFonts w:ascii="宋体"/>
          <w:b/>
          <w:bCs/>
          <w:sz w:val="30"/>
        </w:rPr>
      </w:pPr>
    </w:p>
    <w:p>
      <w:pPr>
        <w:ind w:firstLine="1184" w:firstLineChars="393"/>
        <w:rPr>
          <w:rFonts w:ascii="宋体"/>
          <w:b/>
          <w:bCs/>
          <w:sz w:val="30"/>
        </w:rPr>
      </w:pPr>
    </w:p>
    <w:p>
      <w:pPr>
        <w:ind w:firstLine="1184" w:firstLineChars="393"/>
        <w:rPr>
          <w:rFonts w:ascii="宋体"/>
          <w:b/>
          <w:bCs/>
          <w:sz w:val="30"/>
        </w:rPr>
      </w:pPr>
    </w:p>
    <w:p>
      <w:pPr>
        <w:ind w:firstLine="1184" w:firstLineChars="393"/>
        <w:rPr>
          <w:rFonts w:ascii="宋体"/>
          <w:b/>
          <w:bCs/>
          <w:sz w:val="30"/>
        </w:rPr>
      </w:pPr>
    </w:p>
    <w:p>
      <w:pPr>
        <w:spacing w:line="360" w:lineRule="auto"/>
        <w:ind w:firstLine="2259" w:firstLineChars="750"/>
        <w:rPr>
          <w:rFonts w:ascii="宋体" w:hAnsi="宋体"/>
          <w:b/>
          <w:bCs/>
          <w:sz w:val="30"/>
          <w:szCs w:val="30"/>
          <w:u w:val="single"/>
        </w:rPr>
      </w:pPr>
      <w:r>
        <w:rPr>
          <w:rFonts w:hint="eastAsia" w:ascii="宋体" w:hAnsi="宋体"/>
          <w:b/>
          <w:bCs/>
          <w:sz w:val="30"/>
          <w:szCs w:val="30"/>
        </w:rPr>
        <w:t>招标人：</w:t>
      </w:r>
      <w:r>
        <w:rPr>
          <w:rFonts w:hint="eastAsia" w:ascii="宋体" w:hAnsi="宋体"/>
          <w:b/>
          <w:bCs/>
          <w:sz w:val="30"/>
          <w:szCs w:val="30"/>
          <w:u w:val="single"/>
        </w:rPr>
        <w:t xml:space="preserve">            </w:t>
      </w:r>
      <w:r>
        <w:rPr>
          <w:rFonts w:hint="eastAsia" w:ascii="宋体" w:hAnsi="宋体"/>
          <w:b/>
          <w:bCs/>
          <w:sz w:val="30"/>
          <w:szCs w:val="30"/>
        </w:rPr>
        <w:t xml:space="preserve">  </w:t>
      </w:r>
    </w:p>
    <w:p>
      <w:pPr>
        <w:spacing w:line="360" w:lineRule="auto"/>
        <w:jc w:val="center"/>
        <w:rPr>
          <w:rFonts w:ascii="宋体"/>
          <w:b/>
          <w:bCs/>
          <w:sz w:val="30"/>
          <w:szCs w:val="30"/>
          <w:u w:val="single"/>
        </w:rPr>
      </w:pPr>
      <w:r>
        <w:rPr>
          <w:rFonts w:hint="eastAsia" w:ascii="宋体" w:hAnsi="宋体"/>
          <w:b/>
          <w:bCs/>
          <w:sz w:val="30"/>
          <w:szCs w:val="30"/>
        </w:rPr>
        <w:t xml:space="preserve">  招标代理：</w:t>
      </w:r>
      <w:r>
        <w:rPr>
          <w:rFonts w:hint="eastAsia" w:ascii="宋体" w:hAnsi="宋体"/>
          <w:b/>
          <w:bCs/>
          <w:sz w:val="30"/>
          <w:szCs w:val="30"/>
          <w:u w:val="single"/>
        </w:rPr>
        <w:t xml:space="preserve">          </w:t>
      </w:r>
      <w:r>
        <w:rPr>
          <w:rFonts w:hint="eastAsia" w:ascii="宋体" w:hAnsi="宋体"/>
          <w:b/>
          <w:bCs/>
          <w:sz w:val="30"/>
          <w:szCs w:val="30"/>
        </w:rPr>
        <w:t>（盖单位章）</w:t>
      </w:r>
    </w:p>
    <w:p>
      <w:pPr>
        <w:spacing w:line="360" w:lineRule="auto"/>
        <w:jc w:val="center"/>
        <w:rPr>
          <w:rFonts w:ascii="宋体"/>
          <w:b/>
          <w:sz w:val="44"/>
          <w:szCs w:val="44"/>
        </w:rPr>
        <w:sectPr>
          <w:headerReference r:id="rId3" w:type="default"/>
          <w:footerReference r:id="rId4" w:type="default"/>
          <w:footerReference r:id="rId5" w:type="even"/>
          <w:footnotePr>
            <w:numFmt w:val="decimalEnclosedCircleChinese"/>
            <w:numRestart w:val="eachPage"/>
          </w:footnotePr>
          <w:pgSz w:w="11906" w:h="16838"/>
          <w:pgMar w:top="1418" w:right="1440" w:bottom="1418" w:left="1440" w:header="851" w:footer="992" w:gutter="0"/>
          <w:cols w:space="720" w:num="1"/>
          <w:docGrid w:linePitch="312" w:charSpace="0"/>
        </w:sectPr>
      </w:pPr>
      <w:r>
        <w:rPr>
          <w:rFonts w:hint="eastAsia" w:ascii="宋体" w:hAnsi="宋体"/>
          <w:b/>
          <w:bCs/>
          <w:sz w:val="30"/>
          <w:szCs w:val="30"/>
        </w:rPr>
        <w:t xml:space="preserve">   年     月</w:t>
      </w:r>
      <w:r>
        <w:rPr>
          <w:rFonts w:hint="eastAsia" w:ascii="宋体" w:hAnsi="宋体"/>
          <w:b/>
          <w:bCs/>
          <w:sz w:val="30"/>
          <w:szCs w:val="30"/>
          <w:lang w:val="en-US" w:eastAsia="zh-CN"/>
        </w:rPr>
        <w:t xml:space="preserve">    日</w:t>
      </w:r>
    </w:p>
    <w:p>
      <w:pPr>
        <w:keepNext w:val="0"/>
        <w:keepLines w:val="0"/>
        <w:pageBreakBefore w:val="0"/>
        <w:widowControl w:val="0"/>
        <w:tabs>
          <w:tab w:val="left" w:pos="8505"/>
        </w:tabs>
        <w:kinsoku/>
        <w:wordWrap/>
        <w:overflowPunct/>
        <w:topLinePunct w:val="0"/>
        <w:autoSpaceDE/>
        <w:autoSpaceDN/>
        <w:bidi w:val="0"/>
        <w:adjustRightInd/>
        <w:snapToGrid w:val="0"/>
        <w:spacing w:line="600" w:lineRule="exact"/>
        <w:ind w:right="46" w:rightChars="22" w:firstLine="880" w:firstLineChars="200"/>
        <w:jc w:val="center"/>
        <w:textAlignment w:val="auto"/>
        <w:rPr>
          <w:rFonts w:hint="eastAsia" w:ascii="方正小标宋_GBK" w:hAnsi="方正小标宋_GBK" w:eastAsia="方正小标宋_GBK" w:cs="方正小标宋_GBK"/>
          <w:snapToGrid w:val="0"/>
          <w:kern w:val="0"/>
          <w:sz w:val="44"/>
          <w:szCs w:val="44"/>
          <w:lang w:val="en-US" w:eastAsia="zh-CN"/>
        </w:rPr>
      </w:pPr>
      <w:r>
        <w:rPr>
          <w:rFonts w:hint="eastAsia" w:ascii="方正小标宋_GBK" w:hAnsi="方正小标宋_GBK" w:eastAsia="方正小标宋_GBK" w:cs="方正小标宋_GBK"/>
          <w:snapToGrid w:val="0"/>
          <w:kern w:val="0"/>
          <w:sz w:val="44"/>
          <w:szCs w:val="44"/>
          <w:lang w:val="en-US" w:eastAsia="zh-CN"/>
        </w:rPr>
        <w:t>使用说明</w:t>
      </w:r>
    </w:p>
    <w:p>
      <w:pPr>
        <w:tabs>
          <w:tab w:val="left" w:pos="8505"/>
        </w:tabs>
        <w:snapToGrid w:val="0"/>
        <w:spacing w:line="400" w:lineRule="exact"/>
        <w:ind w:right="46" w:rightChars="22" w:firstLine="420" w:firstLineChars="200"/>
        <w:rPr>
          <w:rFonts w:hint="eastAsia" w:ascii="宋体" w:hAnsi="宋体"/>
          <w:snapToGrid w:val="0"/>
          <w:kern w:val="0"/>
          <w:szCs w:val="21"/>
          <w:lang w:val="en-US" w:eastAsia="zh-CN"/>
        </w:rPr>
      </w:pPr>
    </w:p>
    <w:p>
      <w:pPr>
        <w:tabs>
          <w:tab w:val="left" w:pos="8505"/>
        </w:tabs>
        <w:snapToGrid w:val="0"/>
        <w:spacing w:line="400" w:lineRule="exact"/>
        <w:ind w:right="46" w:rightChars="22" w:firstLine="420" w:firstLineChars="200"/>
        <w:rPr>
          <w:rFonts w:hint="default" w:ascii="宋体" w:hAnsi="宋体" w:eastAsia="宋体"/>
          <w:snapToGrid w:val="0"/>
          <w:kern w:val="0"/>
          <w:szCs w:val="21"/>
          <w:lang w:val="en-US" w:eastAsia="zh-CN"/>
        </w:rPr>
      </w:pPr>
      <w:r>
        <w:rPr>
          <w:rFonts w:hint="eastAsia" w:ascii="宋体" w:hAnsi="宋体"/>
          <w:snapToGrid w:val="0"/>
          <w:kern w:val="0"/>
          <w:szCs w:val="21"/>
          <w:lang w:val="en-US" w:eastAsia="zh-CN"/>
        </w:rPr>
        <w:t>...</w:t>
      </w:r>
    </w:p>
    <w:p>
      <w:pPr>
        <w:keepNext w:val="0"/>
        <w:keepLines w:val="0"/>
        <w:widowControl/>
        <w:suppressLineNumbers w:val="0"/>
        <w:ind w:firstLine="500" w:firstLineChars="200"/>
        <w:jc w:val="left"/>
        <w:rPr>
          <w:highlight w:val="yellow"/>
        </w:rPr>
      </w:pPr>
      <w:r>
        <w:rPr>
          <w:rFonts w:ascii="Arial Unicode MS" w:hAnsi="Arial Unicode MS" w:eastAsia="Arial Unicode MS" w:cs="Arial Unicode MS"/>
          <w:color w:val="000000"/>
          <w:kern w:val="0"/>
          <w:sz w:val="25"/>
          <w:szCs w:val="25"/>
          <w:highlight w:val="yellow"/>
          <w:lang w:val="en-US" w:eastAsia="zh-CN" w:bidi="ar"/>
        </w:rPr>
        <w:t>第三章</w:t>
      </w:r>
      <w:r>
        <w:rPr>
          <w:rFonts w:hint="default" w:ascii="Times New Roman" w:hAnsi="Times New Roman" w:eastAsia="宋体" w:cs="Times New Roman"/>
          <w:color w:val="000000"/>
          <w:kern w:val="0"/>
          <w:sz w:val="25"/>
          <w:szCs w:val="25"/>
          <w:highlight w:val="yellow"/>
          <w:lang w:val="en-US" w:eastAsia="zh-CN" w:bidi="ar"/>
        </w:rPr>
        <w:t>“</w:t>
      </w:r>
      <w:r>
        <w:rPr>
          <w:rFonts w:hint="default" w:ascii="Arial Unicode MS" w:hAnsi="Arial Unicode MS" w:eastAsia="Arial Unicode MS" w:cs="Arial Unicode MS"/>
          <w:color w:val="000000"/>
          <w:kern w:val="0"/>
          <w:sz w:val="25"/>
          <w:szCs w:val="25"/>
          <w:highlight w:val="yellow"/>
          <w:lang w:val="en-US" w:eastAsia="zh-CN" w:bidi="ar"/>
        </w:rPr>
        <w:t>评标办法</w:t>
      </w:r>
      <w:r>
        <w:rPr>
          <w:rFonts w:hint="default" w:ascii="Times New Roman" w:hAnsi="Times New Roman" w:eastAsia="宋体" w:cs="Times New Roman"/>
          <w:color w:val="000000"/>
          <w:kern w:val="0"/>
          <w:sz w:val="25"/>
          <w:szCs w:val="25"/>
          <w:highlight w:val="yellow"/>
          <w:lang w:val="en-US" w:eastAsia="zh-CN" w:bidi="ar"/>
        </w:rPr>
        <w:t>”</w:t>
      </w:r>
      <w:r>
        <w:rPr>
          <w:rFonts w:hint="default" w:ascii="Arial Unicode MS" w:hAnsi="Arial Unicode MS" w:eastAsia="Arial Unicode MS" w:cs="Arial Unicode MS"/>
          <w:color w:val="000000"/>
          <w:kern w:val="0"/>
          <w:sz w:val="25"/>
          <w:szCs w:val="25"/>
          <w:highlight w:val="yellow"/>
          <w:lang w:val="en-US" w:eastAsia="zh-CN" w:bidi="ar"/>
        </w:rPr>
        <w:t xml:space="preserve">前附表应列明全部评审因素和评审标准，并在本章前 </w:t>
      </w:r>
    </w:p>
    <w:p>
      <w:pPr>
        <w:keepNext w:val="0"/>
        <w:keepLines w:val="0"/>
        <w:widowControl/>
        <w:suppressLineNumbers w:val="0"/>
        <w:jc w:val="left"/>
      </w:pPr>
      <w:r>
        <w:rPr>
          <w:rFonts w:hint="default" w:ascii="Arial Unicode MS" w:hAnsi="Arial Unicode MS" w:eastAsia="Arial Unicode MS" w:cs="Arial Unicode MS"/>
          <w:color w:val="000000"/>
          <w:kern w:val="0"/>
          <w:sz w:val="25"/>
          <w:szCs w:val="25"/>
          <w:highlight w:val="yellow"/>
          <w:lang w:val="en-US" w:eastAsia="zh-CN" w:bidi="ar"/>
        </w:rPr>
        <w:t>附表标明投标人不满足要求即导致否决投标的全部条款。</w:t>
      </w:r>
    </w:p>
    <w:p>
      <w:pPr>
        <w:tabs>
          <w:tab w:val="left" w:pos="8505"/>
        </w:tabs>
        <w:snapToGrid w:val="0"/>
        <w:spacing w:line="400" w:lineRule="exact"/>
        <w:ind w:right="46" w:rightChars="22" w:firstLine="420" w:firstLineChars="200"/>
        <w:rPr>
          <w:rFonts w:hint="eastAsia" w:ascii="宋体" w:hAnsi="宋体"/>
          <w:snapToGrid w:val="0"/>
          <w:kern w:val="0"/>
          <w:szCs w:val="21"/>
          <w:lang w:val="en-US" w:eastAsia="zh-CN"/>
        </w:rPr>
      </w:pPr>
    </w:p>
    <w:p>
      <w:pPr>
        <w:tabs>
          <w:tab w:val="left" w:pos="8505"/>
        </w:tabs>
        <w:snapToGrid w:val="0"/>
        <w:spacing w:line="400" w:lineRule="exact"/>
        <w:ind w:right="46" w:rightChars="22" w:firstLine="420" w:firstLineChars="200"/>
        <w:rPr>
          <w:rFonts w:hint="default" w:ascii="宋体" w:hAnsi="宋体"/>
          <w:snapToGrid w:val="0"/>
          <w:kern w:val="0"/>
          <w:szCs w:val="21"/>
          <w:lang w:val="en-US" w:eastAsia="zh-CN"/>
        </w:rPr>
      </w:pPr>
      <w:r>
        <w:rPr>
          <w:rFonts w:hint="eastAsia" w:ascii="宋体" w:hAnsi="宋体"/>
          <w:snapToGrid w:val="0"/>
          <w:kern w:val="0"/>
          <w:szCs w:val="21"/>
          <w:lang w:val="en-US" w:eastAsia="zh-CN"/>
        </w:rPr>
        <w:t>...</w:t>
      </w:r>
    </w:p>
    <w:p>
      <w:pPr>
        <w:snapToGrid w:val="0"/>
        <w:spacing w:line="480" w:lineRule="auto"/>
        <w:jc w:val="center"/>
        <w:rPr>
          <w:rFonts w:ascii="宋体"/>
          <w:b/>
          <w:sz w:val="44"/>
          <w:szCs w:val="44"/>
        </w:rPr>
      </w:pPr>
      <w:r>
        <w:rPr>
          <w:rFonts w:hint="eastAsia" w:ascii="宋体" w:hAnsi="宋体"/>
          <w:b/>
          <w:sz w:val="44"/>
          <w:szCs w:val="44"/>
        </w:rPr>
        <w:br w:type="page"/>
      </w:r>
      <w:r>
        <w:rPr>
          <w:rFonts w:hint="eastAsia" w:ascii="宋体" w:hAnsi="宋体"/>
          <w:b/>
          <w:sz w:val="44"/>
          <w:szCs w:val="44"/>
        </w:rPr>
        <w:t>目  录</w:t>
      </w:r>
    </w:p>
    <w:p>
      <w:pPr>
        <w:pStyle w:val="25"/>
        <w:spacing w:line="480" w:lineRule="auto"/>
        <w:rPr>
          <w:rFonts w:ascii="Calibri" w:hAnsi="Calibri" w:eastAsia="宋体" w:cs="黑体"/>
          <w:sz w:val="21"/>
          <w:szCs w:val="22"/>
        </w:rPr>
      </w:pPr>
      <w:bookmarkStart w:id="0" w:name="_Toc234349306"/>
      <w:bookmarkStart w:id="1" w:name="_Toc234345927"/>
      <w:bookmarkStart w:id="2" w:name="_Toc234345712"/>
      <w:bookmarkStart w:id="3" w:name="_Toc234348735"/>
      <w:bookmarkStart w:id="4" w:name="_Toc234350664"/>
      <w:r>
        <w:rPr>
          <w:rStyle w:val="42"/>
          <w:rFonts w:ascii="宋体" w:hAnsi="宋体" w:eastAsia="宋体"/>
          <w:color w:val="auto"/>
          <w:sz w:val="28"/>
          <w:szCs w:val="28"/>
        </w:rPr>
        <w:fldChar w:fldCharType="begin"/>
      </w:r>
      <w:r>
        <w:rPr>
          <w:rStyle w:val="42"/>
          <w:rFonts w:ascii="宋体" w:hAnsi="宋体" w:eastAsia="宋体"/>
          <w:color w:val="auto"/>
          <w:sz w:val="28"/>
          <w:szCs w:val="28"/>
        </w:rPr>
        <w:instrText xml:space="preserve"> TOC \o "1-3" \h \z \u </w:instrText>
      </w:r>
      <w:r>
        <w:rPr>
          <w:rStyle w:val="42"/>
          <w:rFonts w:ascii="宋体" w:hAnsi="宋体" w:eastAsia="宋体"/>
          <w:color w:val="auto"/>
          <w:sz w:val="28"/>
          <w:szCs w:val="28"/>
        </w:rPr>
        <w:fldChar w:fldCharType="separate"/>
      </w:r>
      <w:r>
        <w:fldChar w:fldCharType="begin"/>
      </w:r>
      <w:r>
        <w:instrText xml:space="preserve"> HYPERLINK \l "_Toc42601969" </w:instrText>
      </w:r>
      <w:r>
        <w:fldChar w:fldCharType="separate"/>
      </w:r>
      <w:r>
        <w:rPr>
          <w:rStyle w:val="42"/>
          <w:rFonts w:hint="eastAsia"/>
          <w:color w:val="auto"/>
        </w:rPr>
        <w:t>第一章  招标公告</w:t>
      </w:r>
      <w:r>
        <w:tab/>
      </w:r>
      <w:r>
        <w:fldChar w:fldCharType="begin"/>
      </w:r>
      <w:r>
        <w:instrText xml:space="preserve"> PAGEREF _Toc42601969 \h </w:instrText>
      </w:r>
      <w:r>
        <w:fldChar w:fldCharType="separate"/>
      </w:r>
      <w:r>
        <w:t>2</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"_Toc42601970" </w:instrText>
      </w:r>
      <w:r>
        <w:fldChar w:fldCharType="separate"/>
      </w:r>
      <w:r>
        <w:rPr>
          <w:rStyle w:val="42"/>
          <w:rFonts w:hint="eastAsia"/>
          <w:color w:val="auto"/>
        </w:rPr>
        <w:t>第二章  投标人须知</w:t>
      </w:r>
      <w:r>
        <w:tab/>
      </w:r>
      <w:r>
        <w:fldChar w:fldCharType="begin"/>
      </w:r>
      <w:r>
        <w:instrText xml:space="preserve"> PAGEREF _Toc42601970 \h </w:instrText>
      </w:r>
      <w:r>
        <w:fldChar w:fldCharType="separate"/>
      </w:r>
      <w:r>
        <w:t>5</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"_Toc42601971" </w:instrText>
      </w:r>
      <w:r>
        <w:fldChar w:fldCharType="separate"/>
      </w:r>
      <w:r>
        <w:rPr>
          <w:rStyle w:val="42"/>
          <w:rFonts w:hint="eastAsia"/>
          <w:color w:val="auto"/>
        </w:rPr>
        <w:t>第三章  评标办法</w:t>
      </w:r>
      <w:r>
        <w:rPr>
          <w:rStyle w:val="42"/>
          <w:rFonts w:hint="eastAsia" w:ascii="宋体" w:hAnsi="宋体"/>
          <w:color w:val="auto"/>
        </w:rPr>
        <w:t>（</w:t>
      </w:r>
      <w:r>
        <w:rPr>
          <w:rStyle w:val="42"/>
          <w:rFonts w:hint="eastAsia" w:ascii="宋体" w:hAnsi="宋体"/>
          <w:color w:val="auto"/>
          <w:lang w:val="en-US" w:eastAsia="zh-CN"/>
        </w:rPr>
        <w:t>****</w:t>
      </w:r>
      <w:r>
        <w:rPr>
          <w:rStyle w:val="42"/>
          <w:rFonts w:ascii="宋体" w:hAnsi="宋体"/>
          <w:color w:val="auto"/>
        </w:rPr>
        <w:t>法</w:t>
      </w:r>
      <w:r>
        <w:rPr>
          <w:rStyle w:val="42"/>
          <w:rFonts w:hint="eastAsia" w:ascii="宋体" w:hAnsi="宋体"/>
          <w:color w:val="auto"/>
        </w:rPr>
        <w:t>）</w:t>
      </w:r>
      <w:r>
        <w:tab/>
      </w:r>
      <w:r>
        <w:fldChar w:fldCharType="begin"/>
      </w:r>
      <w:r>
        <w:instrText xml:space="preserve"> PAGEREF _Toc42601971 \h </w:instrText>
      </w:r>
      <w:r>
        <w:fldChar w:fldCharType="separate"/>
      </w:r>
      <w:r>
        <w:t>34</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"_Toc42601972" </w:instrText>
      </w:r>
      <w:r>
        <w:fldChar w:fldCharType="separate"/>
      </w:r>
      <w:r>
        <w:rPr>
          <w:rStyle w:val="42"/>
          <w:rFonts w:hint="eastAsia"/>
          <w:color w:val="auto"/>
        </w:rPr>
        <w:t>第四章  合同条款及格式</w:t>
      </w:r>
      <w:r>
        <w:tab/>
      </w:r>
      <w:r>
        <w:fldChar w:fldCharType="begin"/>
      </w:r>
      <w:r>
        <w:instrText xml:space="preserve"> PAGEREF _Toc42601972 \h </w:instrText>
      </w:r>
      <w:r>
        <w:fldChar w:fldCharType="separate"/>
      </w:r>
      <w:r>
        <w:t>43</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"_Toc42601973" </w:instrText>
      </w:r>
      <w:r>
        <w:fldChar w:fldCharType="separate"/>
      </w:r>
      <w:r>
        <w:rPr>
          <w:rStyle w:val="42"/>
          <w:rFonts w:hint="eastAsia"/>
          <w:color w:val="auto"/>
        </w:rPr>
        <w:t>第</w:t>
      </w:r>
      <w:r>
        <w:rPr>
          <w:rFonts w:hint="eastAsia" w:ascii="宋体" w:hAnsi="宋体"/>
          <w:b/>
          <w:sz w:val="32"/>
          <w:szCs w:val="32"/>
          <w:highlight w:val="none"/>
        </w:rPr>
        <w:sym w:font="Wingdings" w:char="00A8"/>
      </w:r>
      <w:r>
        <w:rPr>
          <w:rStyle w:val="42"/>
          <w:rFonts w:hint="eastAsia"/>
          <w:color w:val="auto"/>
        </w:rPr>
        <w:t xml:space="preserve">章  </w:t>
      </w:r>
      <w:r>
        <w:rPr>
          <w:rStyle w:val="42"/>
          <w:rFonts w:hint="eastAsia"/>
          <w:color w:val="auto"/>
          <w:lang w:val="en-US" w:eastAsia="zh-CN"/>
        </w:rPr>
        <w:t>*************</w:t>
      </w:r>
      <w:r>
        <w:tab/>
      </w:r>
      <w:r>
        <w:fldChar w:fldCharType="begin"/>
      </w:r>
      <w:r>
        <w:instrText xml:space="preserve"> PAGEREF _Toc42601973 \h </w:instrText>
      </w:r>
      <w:r>
        <w:fldChar w:fldCharType="separate"/>
      </w:r>
      <w:r>
        <w:t>62</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"_Toc42601977" </w:instrText>
      </w:r>
      <w:r>
        <w:fldChar w:fldCharType="separate"/>
      </w:r>
      <w:r>
        <w:rPr>
          <w:rStyle w:val="42"/>
          <w:rFonts w:hint="eastAsia"/>
          <w:color w:val="auto"/>
        </w:rPr>
        <w:t>第</w:t>
      </w:r>
      <w:r>
        <w:rPr>
          <w:rFonts w:hint="eastAsia" w:ascii="宋体" w:hAnsi="宋体"/>
          <w:b/>
          <w:sz w:val="32"/>
          <w:szCs w:val="32"/>
          <w:highlight w:val="none"/>
        </w:rPr>
        <w:sym w:font="Wingdings" w:char="00A8"/>
      </w:r>
      <w:r>
        <w:rPr>
          <w:rStyle w:val="42"/>
          <w:rFonts w:hint="eastAsia"/>
          <w:color w:val="auto"/>
        </w:rPr>
        <w:t>章  投标文件格式</w:t>
      </w:r>
      <w:r>
        <w:tab/>
      </w:r>
      <w:r>
        <w:fldChar w:fldCharType="begin"/>
      </w:r>
      <w:r>
        <w:instrText xml:space="preserve"> PAGEREF _Toc42601977 \h </w:instrText>
      </w:r>
      <w:r>
        <w:fldChar w:fldCharType="separate"/>
      </w:r>
      <w:r>
        <w:t>66</w:t>
      </w:r>
      <w:r>
        <w:fldChar w:fldCharType="end"/>
      </w:r>
      <w:r>
        <w:fldChar w:fldCharType="end"/>
      </w:r>
    </w:p>
    <w:p>
      <w:pPr>
        <w:snapToGrid w:val="0"/>
        <w:spacing w:line="480" w:lineRule="auto"/>
        <w:jc w:val="center"/>
        <w:rPr>
          <w:rFonts w:ascii="宋体" w:hAnsi="宋体"/>
          <w:sz w:val="28"/>
          <w:szCs w:val="28"/>
        </w:rPr>
        <w:sectPr>
          <w:headerReference r:id="rId6" w:type="default"/>
          <w:footerReference r:id="rId8" w:type="default"/>
          <w:headerReference r:id="rId7" w:type="even"/>
          <w:footnotePr>
            <w:numFmt w:val="decimalEnclosedCircleChinese"/>
            <w:numRestart w:val="eachPage"/>
          </w:footnotePr>
          <w:pgSz w:w="11906" w:h="16838"/>
          <w:pgMar w:top="1418" w:right="1440" w:bottom="1418" w:left="1440" w:header="851" w:footer="992" w:gutter="0"/>
          <w:pgNumType w:start="1"/>
          <w:cols w:space="720" w:num="1"/>
          <w:docGrid w:linePitch="312" w:charSpace="0"/>
        </w:sectPr>
      </w:pPr>
      <w:r>
        <w:rPr>
          <w:rStyle w:val="42"/>
          <w:rFonts w:ascii="宋体" w:hAnsi="宋体"/>
          <w:color w:val="auto"/>
          <w:sz w:val="28"/>
          <w:szCs w:val="28"/>
        </w:rPr>
        <w:fldChar w:fldCharType="end"/>
      </w:r>
      <w:bookmarkEnd w:id="0"/>
      <w:bookmarkEnd w:id="1"/>
      <w:bookmarkEnd w:id="2"/>
      <w:bookmarkEnd w:id="3"/>
      <w:bookmarkEnd w:id="4"/>
      <w:bookmarkStart w:id="5" w:name="_Toc265483664"/>
      <w:bookmarkStart w:id="6" w:name="_Toc42601969"/>
    </w:p>
    <w:p>
      <w:pPr>
        <w:pStyle w:val="2"/>
        <w:spacing w:beforeLines="0" w:afterLines="0" w:line="400" w:lineRule="exact"/>
      </w:pPr>
      <w:r>
        <w:rPr>
          <w:rFonts w:hint="eastAsia"/>
        </w:rPr>
        <w:t>第一章  招标公告</w:t>
      </w:r>
      <w:bookmarkEnd w:id="5"/>
      <w:bookmarkEnd w:id="6"/>
    </w:p>
    <w:p>
      <w:pPr>
        <w:tabs>
          <w:tab w:val="left" w:pos="1455"/>
        </w:tabs>
        <w:spacing w:line="360" w:lineRule="auto"/>
        <w:rPr>
          <w:rFonts w:ascii="宋体" w:hAnsi="宋体"/>
          <w:szCs w:val="21"/>
        </w:rPr>
      </w:pPr>
      <w:bookmarkStart w:id="7" w:name="_Toc144974480"/>
      <w:bookmarkStart w:id="8" w:name="_Toc179632528"/>
      <w:bookmarkStart w:id="9" w:name="_Toc152042288"/>
      <w:bookmarkStart w:id="10" w:name="_Toc152045512"/>
    </w:p>
    <w:bookmarkEnd w:id="7"/>
    <w:bookmarkEnd w:id="8"/>
    <w:bookmarkEnd w:id="9"/>
    <w:bookmarkEnd w:id="10"/>
    <w:p>
      <w:pPr>
        <w:tabs>
          <w:tab w:val="left" w:pos="8505"/>
        </w:tabs>
        <w:snapToGrid w:val="0"/>
        <w:spacing w:line="400" w:lineRule="exact"/>
        <w:ind w:right="46" w:rightChars="22"/>
        <w:rPr>
          <w:rFonts w:ascii="宋体" w:hAnsi="宋体"/>
          <w:snapToGrid w:val="0"/>
          <w:kern w:val="0"/>
          <w:szCs w:val="21"/>
        </w:rPr>
      </w:pPr>
      <w:bookmarkStart w:id="11" w:name="_Toc152045513"/>
      <w:bookmarkStart w:id="12" w:name="_Toc152042289"/>
      <w:bookmarkStart w:id="13" w:name="_Toc179632529"/>
      <w:bookmarkStart w:id="14" w:name="_Toc144974481"/>
      <w:r>
        <w:rPr>
          <w:rFonts w:hint="eastAsia" w:ascii="宋体" w:hAnsi="宋体"/>
          <w:snapToGrid w:val="0"/>
          <w:kern w:val="0"/>
          <w:szCs w:val="21"/>
        </w:rPr>
        <w:t>项目名称：</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工程地点：</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资金来源：</w:t>
      </w:r>
      <w:r>
        <w:rPr>
          <w:rFonts w:hint="eastAsia" w:ascii="宋体" w:hAnsi="宋体"/>
          <w:snapToGrid w:val="0"/>
          <w:kern w:val="0"/>
          <w:szCs w:val="21"/>
          <w:u w:val="single"/>
        </w:rPr>
        <w:t xml:space="preserve">                </w:t>
      </w:r>
      <w:r>
        <w:rPr>
          <w:rFonts w:hint="eastAsia" w:ascii="宋体" w:hAnsi="宋体"/>
          <w:snapToGrid w:val="0"/>
          <w:kern w:val="0"/>
          <w:szCs w:val="21"/>
        </w:rPr>
        <w:t xml:space="preserve">   出资比例：</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招标工程类型：</w:t>
      </w:r>
      <w:r>
        <w:rPr>
          <w:rFonts w:hint="eastAsia" w:ascii="宋体" w:hAnsi="宋体"/>
          <w:snapToGrid w:val="0"/>
          <w:kern w:val="0"/>
          <w:szCs w:val="21"/>
          <w:u w:val="single"/>
        </w:rPr>
        <w:t xml:space="preserve">                               </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本项目总投资额：</w:t>
      </w:r>
      <w:r>
        <w:rPr>
          <w:rFonts w:hint="eastAsia" w:ascii="宋体" w:hAnsi="宋体"/>
          <w:snapToGrid w:val="0"/>
          <w:kern w:val="0"/>
          <w:szCs w:val="21"/>
          <w:u w:val="single"/>
        </w:rPr>
        <w:t xml:space="preserve">      </w:t>
      </w:r>
      <w:r>
        <w:rPr>
          <w:rFonts w:hint="eastAsia" w:ascii="宋体" w:hAnsi="宋体"/>
          <w:szCs w:val="21"/>
          <w:u w:val="single"/>
        </w:rPr>
        <w:t>万元</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工程造价：</w:t>
      </w:r>
      <w:r>
        <w:rPr>
          <w:rFonts w:hint="eastAsia" w:ascii="宋体" w:hAnsi="宋体"/>
          <w:snapToGrid w:val="0"/>
          <w:kern w:val="0"/>
          <w:szCs w:val="21"/>
          <w:u w:val="single"/>
        </w:rPr>
        <w:t xml:space="preserve">       万元   </w:t>
      </w:r>
    </w:p>
    <w:p>
      <w:pPr>
        <w:tabs>
          <w:tab w:val="left" w:pos="8505"/>
        </w:tabs>
        <w:snapToGrid w:val="0"/>
        <w:spacing w:line="400" w:lineRule="exact"/>
        <w:ind w:right="46" w:rightChars="22"/>
        <w:jc w:val="left"/>
        <w:rPr>
          <w:rFonts w:ascii="宋体" w:hAnsi="宋体"/>
          <w:snapToGrid w:val="0"/>
          <w:kern w:val="0"/>
          <w:szCs w:val="21"/>
        </w:rPr>
      </w:pPr>
      <w:r>
        <w:rPr>
          <w:rFonts w:hint="eastAsia" w:ascii="宋体" w:hAnsi="宋体"/>
          <w:snapToGrid w:val="0"/>
          <w:kern w:val="0"/>
          <w:szCs w:val="21"/>
        </w:rPr>
        <w:t>技术等级：</w:t>
      </w:r>
      <w:r>
        <w:rPr>
          <w:rFonts w:hint="eastAsia" w:ascii="宋体" w:hAnsi="宋体"/>
          <w:snapToGrid w:val="0"/>
          <w:kern w:val="0"/>
          <w:szCs w:val="21"/>
          <w:u w:val="single"/>
        </w:rPr>
        <w:t xml:space="preserve">             </w:t>
      </w:r>
      <w:r>
        <w:rPr>
          <w:rFonts w:hint="eastAsia" w:ascii="宋体" w:hAnsi="宋体"/>
          <w:snapToGrid w:val="0"/>
          <w:kern w:val="0"/>
          <w:szCs w:val="21"/>
        </w:rPr>
        <w:t xml:space="preserve">            工程规模：</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计划文号：</w:t>
      </w:r>
      <w:r>
        <w:rPr>
          <w:rFonts w:hint="eastAsia" w:ascii="宋体" w:hAnsi="宋体"/>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建设单位联系人：</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建设单位联系电话：</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招标单位联系人：</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招标单位联系电话：</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招标代理单位联系人：</w:t>
      </w:r>
      <w:r>
        <w:rPr>
          <w:rFonts w:hint="eastAsia" w:ascii="宋体" w:hAnsi="宋体"/>
          <w:szCs w:val="21"/>
          <w:u w:val="single"/>
        </w:rPr>
        <w:t xml:space="preserve">     </w:t>
      </w:r>
      <w:r>
        <w:rPr>
          <w:rFonts w:hint="eastAsia" w:ascii="宋体" w:hAnsi="宋体"/>
          <w:szCs w:val="21"/>
        </w:rPr>
        <w:t xml:space="preserve">               招标代理单位联系电话：</w:t>
      </w:r>
      <w:r>
        <w:rPr>
          <w:rFonts w:hint="eastAsia" w:ascii="宋体" w:hAnsi="宋体"/>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全市统一项目编码：</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是否绿色通道项目：</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b/>
          <w:szCs w:val="21"/>
        </w:rPr>
      </w:pPr>
      <w:r>
        <w:rPr>
          <w:rFonts w:hint="eastAsia" w:ascii="宋体" w:hAnsi="宋体"/>
          <w:b/>
          <w:szCs w:val="21"/>
        </w:rPr>
        <w:t>一、</w:t>
      </w:r>
      <w:bookmarkEnd w:id="11"/>
      <w:bookmarkEnd w:id="12"/>
      <w:bookmarkEnd w:id="13"/>
      <w:bookmarkEnd w:id="14"/>
      <w:r>
        <w:rPr>
          <w:rFonts w:hint="eastAsia" w:ascii="宋体" w:hAnsi="宋体"/>
          <w:b/>
          <w:szCs w:val="21"/>
        </w:rPr>
        <w:t>项目基本情况</w:t>
      </w:r>
    </w:p>
    <w:p>
      <w:pPr>
        <w:tabs>
          <w:tab w:val="left" w:pos="8505"/>
        </w:tabs>
        <w:snapToGrid w:val="0"/>
        <w:spacing w:line="400" w:lineRule="exact"/>
        <w:ind w:right="46" w:rightChars="22" w:firstLine="420" w:firstLineChars="200"/>
        <w:rPr>
          <w:rFonts w:ascii="宋体" w:hAnsi="宋体"/>
          <w:snapToGrid w:val="0"/>
          <w:kern w:val="0"/>
          <w:szCs w:val="21"/>
          <w:u w:val="single"/>
        </w:rPr>
      </w:pPr>
      <w:bookmarkStart w:id="15" w:name="_Toc152042290"/>
      <w:bookmarkStart w:id="16" w:name="_Toc144974482"/>
      <w:bookmarkStart w:id="17" w:name="_Toc179632530"/>
      <w:bookmarkStart w:id="18" w:name="_Toc152045514"/>
      <w:r>
        <w:rPr>
          <w:rFonts w:ascii="宋体" w:hAnsi="宋体"/>
          <w:snapToGrid w:val="0"/>
          <w:kern w:val="0"/>
          <w:szCs w:val="21"/>
        </w:rPr>
        <w:t>1</w:t>
      </w:r>
      <w:r>
        <w:rPr>
          <w:rFonts w:hint="eastAsia" w:ascii="宋体" w:hAnsi="宋体"/>
          <w:snapToGrid w:val="0"/>
          <w:kern w:val="0"/>
          <w:szCs w:val="21"/>
        </w:rPr>
        <w:t>.工程内容</w:t>
      </w:r>
      <w:r>
        <w:rPr>
          <w:rFonts w:ascii="宋体" w:hAnsi="宋体"/>
          <w:snapToGrid w:val="0"/>
          <w:kern w:val="0"/>
          <w:szCs w:val="21"/>
        </w:rPr>
        <w:t>：</w:t>
      </w:r>
      <w:r>
        <w:rPr>
          <w:rFonts w:hint="eastAsia" w:ascii="宋体" w:hAnsi="宋体"/>
          <w:snapToGrid w:val="0"/>
          <w:kern w:val="0"/>
          <w:szCs w:val="21"/>
          <w:u w:val="single"/>
        </w:rPr>
        <w:t xml:space="preserve">            </w:t>
      </w:r>
    </w:p>
    <w:p>
      <w:pPr>
        <w:tabs>
          <w:tab w:val="left" w:pos="8505"/>
        </w:tabs>
        <w:snapToGrid w:val="0"/>
        <w:spacing w:line="400" w:lineRule="exact"/>
        <w:ind w:right="46" w:rightChars="22" w:firstLine="420" w:firstLineChars="200"/>
        <w:rPr>
          <w:rFonts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w:t>
      </w:r>
      <w:r>
        <w:rPr>
          <w:rFonts w:ascii="宋体" w:hAnsi="宋体"/>
          <w:snapToGrid w:val="0"/>
          <w:kern w:val="0"/>
          <w:szCs w:val="21"/>
        </w:rPr>
        <w:t>招标内容：</w:t>
      </w:r>
      <w:r>
        <w:rPr>
          <w:rFonts w:hint="eastAsia" w:ascii="宋体" w:hAnsi="宋体"/>
          <w:snapToGrid w:val="0"/>
          <w:kern w:val="0"/>
          <w:szCs w:val="21"/>
          <w:u w:val="single"/>
        </w:rPr>
        <w:t xml:space="preserve">            </w:t>
      </w:r>
    </w:p>
    <w:p>
      <w:pPr>
        <w:tabs>
          <w:tab w:val="left" w:pos="8505"/>
        </w:tabs>
        <w:snapToGrid w:val="0"/>
        <w:spacing w:line="400" w:lineRule="exact"/>
        <w:ind w:right="46" w:rightChars="22" w:firstLine="420" w:firstLineChars="200"/>
        <w:rPr>
          <w:rFonts w:ascii="宋体" w:hAnsi="宋体"/>
          <w:snapToGrid w:val="0"/>
          <w:kern w:val="0"/>
          <w:szCs w:val="21"/>
          <w:u w:val="single"/>
        </w:rPr>
      </w:pPr>
      <w:r>
        <w:rPr>
          <w:rFonts w:hint="eastAsia" w:ascii="宋体" w:hAnsi="宋体"/>
          <w:snapToGrid w:val="0"/>
          <w:kern w:val="0"/>
          <w:szCs w:val="21"/>
        </w:rPr>
        <w:t>3.标段划分：</w:t>
      </w:r>
      <w:r>
        <w:rPr>
          <w:rFonts w:hint="eastAsia" w:ascii="宋体" w:hAnsi="宋体"/>
          <w:snapToGrid w:val="0"/>
          <w:kern w:val="0"/>
          <w:szCs w:val="21"/>
          <w:u w:val="single"/>
        </w:rPr>
        <w:t xml:space="preserve">              </w:t>
      </w:r>
    </w:p>
    <w:p>
      <w:pPr>
        <w:tabs>
          <w:tab w:val="left" w:pos="1455"/>
        </w:tabs>
        <w:spacing w:line="440" w:lineRule="exact"/>
        <w:rPr>
          <w:rFonts w:ascii="宋体" w:hAnsi="宋体"/>
          <w:b/>
          <w:szCs w:val="21"/>
        </w:rPr>
      </w:pPr>
      <w:r>
        <w:rPr>
          <w:rFonts w:hint="eastAsia" w:ascii="宋体" w:hAnsi="宋体"/>
          <w:b/>
          <w:szCs w:val="21"/>
        </w:rPr>
        <w:t>二、</w:t>
      </w:r>
      <w:bookmarkEnd w:id="15"/>
      <w:bookmarkEnd w:id="16"/>
      <w:bookmarkEnd w:id="17"/>
      <w:bookmarkEnd w:id="18"/>
      <w:r>
        <w:rPr>
          <w:rFonts w:hint="eastAsia" w:ascii="宋体" w:hAnsi="宋体"/>
          <w:b/>
          <w:szCs w:val="21"/>
        </w:rPr>
        <w:t>投标企业应具有的条件</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1.</w:t>
      </w:r>
      <w:r>
        <w:rPr>
          <w:rFonts w:ascii="宋体" w:hAnsi="宋体"/>
          <w:szCs w:val="21"/>
          <w:u w:val="single"/>
        </w:rPr>
        <w:t>对投标企业的资质</w:t>
      </w:r>
      <w:r>
        <w:rPr>
          <w:rFonts w:hint="eastAsia" w:ascii="宋体" w:hAnsi="宋体"/>
          <w:szCs w:val="21"/>
          <w:u w:val="single"/>
        </w:rPr>
        <w:t>要求</w:t>
      </w:r>
      <w:r>
        <w:rPr>
          <w:rFonts w:ascii="宋体" w:hAnsi="宋体"/>
          <w:szCs w:val="21"/>
          <w:u w:val="single"/>
        </w:rPr>
        <w:t>为</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2.</w:t>
      </w:r>
      <w:r>
        <w:rPr>
          <w:rFonts w:ascii="宋体" w:hAnsi="宋体"/>
          <w:szCs w:val="21"/>
          <w:u w:val="single"/>
        </w:rPr>
        <w:t>对</w:t>
      </w:r>
      <w:r>
        <w:rPr>
          <w:rFonts w:hint="eastAsia" w:ascii="宋体" w:hAnsi="宋体"/>
          <w:szCs w:val="21"/>
          <w:u w:val="single"/>
        </w:rPr>
        <w:t>主要人员</w:t>
      </w:r>
      <w:r>
        <w:rPr>
          <w:rFonts w:ascii="宋体" w:hAnsi="宋体"/>
          <w:szCs w:val="21"/>
          <w:u w:val="single"/>
        </w:rPr>
        <w:t>要求</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3.本次招标接受/不接受联合体投标</w:t>
      </w:r>
      <w:r>
        <w:rPr>
          <w:rFonts w:ascii="宋体" w:hAnsi="宋体"/>
          <w:szCs w:val="21"/>
          <w:u w:val="single"/>
        </w:rPr>
        <w:t>。</w:t>
      </w:r>
    </w:p>
    <w:p>
      <w:pPr>
        <w:tabs>
          <w:tab w:val="left" w:pos="1455"/>
        </w:tabs>
        <w:spacing w:line="440" w:lineRule="exact"/>
        <w:ind w:firstLine="420" w:firstLineChars="200"/>
        <w:rPr>
          <w:rFonts w:ascii="宋体" w:hAnsi="宋体"/>
          <w:szCs w:val="21"/>
        </w:rPr>
      </w:pPr>
    </w:p>
    <w:p>
      <w:pPr>
        <w:tabs>
          <w:tab w:val="left" w:pos="1455"/>
        </w:tabs>
        <w:spacing w:line="440" w:lineRule="exact"/>
        <w:ind w:firstLine="420" w:firstLineChars="200"/>
        <w:rPr>
          <w:rFonts w:ascii="宋体" w:hAnsi="宋体"/>
          <w:szCs w:val="21"/>
        </w:rPr>
      </w:pPr>
    </w:p>
    <w:p>
      <w:pPr>
        <w:tabs>
          <w:tab w:val="left" w:pos="1455"/>
        </w:tabs>
        <w:spacing w:line="440" w:lineRule="exact"/>
        <w:rPr>
          <w:rFonts w:ascii="宋体" w:hAnsi="宋体"/>
          <w:b/>
          <w:szCs w:val="21"/>
        </w:rPr>
      </w:pPr>
      <w:bookmarkStart w:id="19" w:name="_Toc152042291"/>
      <w:bookmarkStart w:id="20" w:name="_Toc144974483"/>
      <w:bookmarkStart w:id="21" w:name="_Toc179632531"/>
      <w:bookmarkStart w:id="22" w:name="_Toc152045515"/>
      <w:r>
        <w:rPr>
          <w:rFonts w:hint="eastAsia" w:ascii="宋体" w:hAnsi="宋体"/>
          <w:b/>
          <w:szCs w:val="21"/>
        </w:rPr>
        <w:t>三、</w:t>
      </w:r>
      <w:r>
        <w:rPr>
          <w:rFonts w:hint="eastAsia" w:ascii="宋体" w:hAnsi="宋体"/>
          <w:b/>
          <w:bCs/>
          <w:szCs w:val="21"/>
        </w:rPr>
        <w:t>资格审查办法和方式</w:t>
      </w:r>
    </w:p>
    <w:p>
      <w:pPr>
        <w:tabs>
          <w:tab w:val="left" w:pos="1455"/>
        </w:tabs>
        <w:spacing w:line="440" w:lineRule="exact"/>
        <w:ind w:firstLine="420" w:firstLineChars="200"/>
        <w:rPr>
          <w:rFonts w:ascii="宋体" w:hAnsi="宋体"/>
          <w:szCs w:val="21"/>
        </w:rPr>
      </w:pPr>
      <w:r>
        <w:rPr>
          <w:rFonts w:hint="eastAsia" w:ascii="宋体" w:hAnsi="宋体"/>
          <w:szCs w:val="21"/>
        </w:rPr>
        <w:t>资格后审/资格预审，合格制/有限数量制。</w:t>
      </w:r>
    </w:p>
    <w:p>
      <w:pPr>
        <w:tabs>
          <w:tab w:val="left" w:pos="1455"/>
        </w:tabs>
        <w:spacing w:line="440" w:lineRule="exact"/>
        <w:rPr>
          <w:rFonts w:ascii="宋体" w:hAnsi="宋体"/>
          <w:szCs w:val="21"/>
        </w:rPr>
      </w:pPr>
      <w:r>
        <w:rPr>
          <w:rFonts w:hint="eastAsia" w:ascii="宋体" w:hAnsi="宋体"/>
          <w:b/>
          <w:bCs/>
          <w:szCs w:val="21"/>
        </w:rPr>
        <w:t>四、评标办法</w:t>
      </w:r>
    </w:p>
    <w:p>
      <w:pPr>
        <w:tabs>
          <w:tab w:val="left" w:pos="1455"/>
        </w:tabs>
        <w:spacing w:line="440" w:lineRule="exact"/>
        <w:ind w:firstLine="420" w:firstLineChars="200"/>
        <w:rPr>
          <w:rFonts w:hint="eastAsia" w:ascii="宋体" w:hAnsi="宋体" w:eastAsia="宋体"/>
          <w:szCs w:val="21"/>
          <w:lang w:eastAsia="zh-CN"/>
        </w:rPr>
      </w:pPr>
      <w:r>
        <w:rPr>
          <w:rFonts w:hint="eastAsia" w:ascii="宋体" w:hAnsi="宋体"/>
          <w:szCs w:val="21"/>
          <w:lang w:val="en-US" w:eastAsia="zh-CN"/>
        </w:rPr>
        <w:t xml:space="preserve"> </w:t>
      </w:r>
    </w:p>
    <w:p>
      <w:pPr>
        <w:tabs>
          <w:tab w:val="left" w:pos="1455"/>
        </w:tabs>
        <w:spacing w:line="440" w:lineRule="exact"/>
        <w:rPr>
          <w:rFonts w:hint="default" w:ascii="宋体" w:hAnsi="宋体" w:eastAsia="宋体"/>
          <w:szCs w:val="21"/>
          <w:lang w:val="en-US" w:eastAsia="zh-CN"/>
        </w:rPr>
      </w:pPr>
      <w:r>
        <w:rPr>
          <w:rFonts w:hint="eastAsia" w:ascii="宋体" w:hAnsi="宋体"/>
          <w:b/>
          <w:bCs/>
          <w:szCs w:val="21"/>
        </w:rPr>
        <w:t>五、</w:t>
      </w:r>
      <w:r>
        <w:rPr>
          <w:rFonts w:hint="eastAsia" w:ascii="宋体" w:hAnsi="宋体"/>
          <w:b/>
          <w:bCs/>
          <w:szCs w:val="21"/>
          <w:lang w:val="en-US" w:eastAsia="zh-CN"/>
        </w:rPr>
        <w:t>.....</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六、</w:t>
      </w:r>
      <w:r>
        <w:rPr>
          <w:rFonts w:ascii="宋体" w:hAnsi="宋体"/>
          <w:b/>
          <w:bCs/>
          <w:szCs w:val="21"/>
          <w:highlight w:val="yellow"/>
        </w:rPr>
        <w:t>招标文件的获取</w:t>
      </w:r>
      <w:bookmarkEnd w:id="19"/>
      <w:bookmarkEnd w:id="20"/>
      <w:bookmarkEnd w:id="21"/>
      <w:bookmarkEnd w:id="22"/>
    </w:p>
    <w:p>
      <w:pPr>
        <w:tabs>
          <w:tab w:val="left" w:pos="1455"/>
        </w:tabs>
        <w:spacing w:line="440" w:lineRule="exact"/>
        <w:ind w:firstLine="420" w:firstLineChars="200"/>
        <w:rPr>
          <w:rFonts w:ascii="宋体" w:hAnsi="宋体"/>
          <w:szCs w:val="21"/>
          <w:highlight w:val="yellow"/>
        </w:rPr>
      </w:pPr>
      <w:bookmarkStart w:id="23" w:name="_Toc152045516"/>
      <w:bookmarkStart w:id="24" w:name="_Toc179632532"/>
      <w:bookmarkStart w:id="25" w:name="_Toc152042292"/>
      <w:bookmarkStart w:id="26" w:name="_Toc144974484"/>
      <w:r>
        <w:rPr>
          <w:rFonts w:hint="eastAsia" w:ascii="宋体" w:hAnsi="宋体"/>
          <w:szCs w:val="21"/>
          <w:highlight w:val="yellow"/>
        </w:rPr>
        <w:t>开标时间前在全国公共资源交易平台（山东省青岛市）青岛市公共资源交易电子服务系统（http://ggzy.qingdao.gov.cn）本项目招标公告页面免费下载招标文件。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七、</w:t>
      </w:r>
      <w:r>
        <w:rPr>
          <w:rFonts w:ascii="宋体" w:hAnsi="宋体"/>
          <w:b/>
          <w:bCs/>
          <w:szCs w:val="21"/>
          <w:highlight w:val="yellow"/>
        </w:rPr>
        <w:t>投标文件的递交</w:t>
      </w:r>
      <w:bookmarkEnd w:id="23"/>
      <w:bookmarkEnd w:id="24"/>
      <w:bookmarkEnd w:id="25"/>
      <w:bookmarkEnd w:id="26"/>
    </w:p>
    <w:p>
      <w:pPr>
        <w:tabs>
          <w:tab w:val="left" w:pos="1455"/>
        </w:tabs>
        <w:spacing w:line="440" w:lineRule="exact"/>
        <w:ind w:firstLine="420" w:firstLineChars="200"/>
        <w:rPr>
          <w:rFonts w:ascii="宋体" w:hAnsi="宋体"/>
          <w:szCs w:val="21"/>
          <w:highlight w:val="yellow"/>
        </w:rPr>
      </w:pPr>
      <w:bookmarkStart w:id="27" w:name="_Toc157499355"/>
      <w:bookmarkStart w:id="28" w:name="_Toc179632533"/>
      <w:r>
        <w:rPr>
          <w:rFonts w:hint="eastAsia" w:ascii="宋体" w:hAnsi="宋体"/>
          <w:szCs w:val="21"/>
          <w:highlight w:val="yellow"/>
        </w:rPr>
        <w:t>投标人应当在投标截止时间前，通过【青岛市公共资源投标文件制作工具】上传投标文件。本项目不接受纸质投标文件。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八、投标截止时间、开标时间及地点</w:t>
      </w:r>
    </w:p>
    <w:p>
      <w:pPr>
        <w:tabs>
          <w:tab w:val="left" w:pos="1455"/>
        </w:tabs>
        <w:spacing w:line="440" w:lineRule="exact"/>
        <w:ind w:firstLine="420" w:firstLineChars="200"/>
        <w:rPr>
          <w:rFonts w:ascii="宋体" w:hAnsi="宋体"/>
          <w:bCs/>
          <w:szCs w:val="21"/>
          <w:highlight w:val="yellow"/>
          <w:u w:val="single"/>
        </w:rPr>
      </w:pPr>
      <w:r>
        <w:rPr>
          <w:rFonts w:hint="eastAsia" w:ascii="宋体" w:hAnsi="宋体"/>
          <w:bCs/>
          <w:szCs w:val="21"/>
          <w:highlight w:val="yellow"/>
        </w:rPr>
        <w:t>投标截止时间、开标时间：</w:t>
      </w:r>
      <w:r>
        <w:rPr>
          <w:rFonts w:hint="eastAsia" w:ascii="宋体" w:hAnsi="宋体"/>
          <w:bCs/>
          <w:szCs w:val="21"/>
          <w:highlight w:val="yellow"/>
          <w:u w:val="single"/>
        </w:rPr>
        <w:t xml:space="preserve">      </w:t>
      </w:r>
    </w:p>
    <w:p>
      <w:pPr>
        <w:tabs>
          <w:tab w:val="left" w:pos="1455"/>
        </w:tabs>
        <w:spacing w:line="440" w:lineRule="exact"/>
        <w:ind w:firstLine="420" w:firstLineChars="200"/>
        <w:rPr>
          <w:rFonts w:ascii="宋体" w:hAnsi="宋体"/>
          <w:szCs w:val="21"/>
          <w:highlight w:val="yellow"/>
          <w:u w:val="single"/>
        </w:rPr>
      </w:pPr>
      <w:r>
        <w:rPr>
          <w:rFonts w:hint="eastAsia" w:ascii="宋体" w:hAnsi="宋体"/>
          <w:bCs/>
          <w:szCs w:val="21"/>
          <w:highlight w:val="yellow"/>
        </w:rPr>
        <w:t>开标地点：</w:t>
      </w:r>
      <w:r>
        <w:rPr>
          <w:rFonts w:hint="eastAsia" w:ascii="宋体" w:hAnsi="宋体"/>
          <w:bCs/>
          <w:szCs w:val="21"/>
          <w:highlight w:val="yellow"/>
          <w:u w:val="single"/>
        </w:rPr>
        <w:t xml:space="preserve">       </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九、发布公告的媒介</w:t>
      </w:r>
      <w:bookmarkEnd w:id="27"/>
      <w:bookmarkEnd w:id="28"/>
    </w:p>
    <w:p>
      <w:pPr>
        <w:tabs>
          <w:tab w:val="left" w:pos="1455"/>
        </w:tabs>
        <w:spacing w:line="440" w:lineRule="exact"/>
        <w:ind w:firstLine="420" w:firstLineChars="200"/>
        <w:rPr>
          <w:rFonts w:ascii="宋体" w:hAnsi="宋体"/>
          <w:szCs w:val="21"/>
        </w:rPr>
      </w:pPr>
      <w:r>
        <w:rPr>
          <w:rFonts w:hint="eastAsia" w:ascii="宋体" w:hAnsi="宋体"/>
          <w:szCs w:val="21"/>
          <w:highlight w:val="yellow"/>
        </w:rPr>
        <w:t>本次招标公告同时在全国公共资源交易平台（山东省青岛市）青岛市公共资源交易电子服务系统（http://ggzy.qingdao.gov.cn）上发布。招标文件的下载、澄清和修改均在全国公共资源交易平台（山东省青岛市）青岛市公共资源交易电子服务系统（http://ggzy.qingdao.gov.cn）招标公告页面。</w:t>
      </w:r>
    </w:p>
    <w:p>
      <w:pPr>
        <w:tabs>
          <w:tab w:val="left" w:pos="1455"/>
        </w:tabs>
        <w:spacing w:line="440" w:lineRule="exact"/>
        <w:rPr>
          <w:rFonts w:ascii="宋体" w:hAnsi="宋体"/>
          <w:b/>
          <w:bCs/>
          <w:szCs w:val="21"/>
        </w:rPr>
      </w:pPr>
      <w:r>
        <w:rPr>
          <w:rFonts w:hint="eastAsia" w:ascii="宋体" w:hAnsi="宋体"/>
          <w:b/>
          <w:bCs/>
          <w:szCs w:val="21"/>
        </w:rPr>
        <w:t>十、其他说明</w:t>
      </w:r>
    </w:p>
    <w:p>
      <w:pPr>
        <w:tabs>
          <w:tab w:val="left" w:pos="1455"/>
        </w:tabs>
        <w:spacing w:line="440" w:lineRule="exact"/>
        <w:ind w:firstLine="420" w:firstLineChars="200"/>
        <w:rPr>
          <w:rFonts w:ascii="宋体" w:hAnsi="宋体"/>
          <w:szCs w:val="21"/>
        </w:rPr>
      </w:pPr>
      <w:r>
        <w:rPr>
          <w:rFonts w:hint="eastAsia" w:ascii="宋体" w:hAnsi="宋体"/>
          <w:szCs w:val="21"/>
          <w:highlight w:val="yellow"/>
        </w:rPr>
        <w:t>1．网上技术支持电话：0532-85871505</w:t>
      </w:r>
    </w:p>
    <w:p>
      <w:pPr>
        <w:ind w:firstLine="420" w:firstLineChars="200"/>
        <w:rPr>
          <w:rFonts w:hint="default" w:eastAsia="宋体"/>
          <w:lang w:val="en-US" w:eastAsia="zh-CN"/>
        </w:rPr>
      </w:pPr>
      <w:r>
        <w:rPr>
          <w:rFonts w:hint="eastAsia" w:ascii="宋体" w:hAnsi="宋体"/>
          <w:szCs w:val="21"/>
          <w:lang w:val="en-US" w:eastAsia="zh-CN"/>
        </w:rPr>
        <w:t>2.....</w:t>
      </w:r>
    </w:p>
    <w:p>
      <w:pPr>
        <w:pStyle w:val="2"/>
        <w:spacing w:beforeLines="0" w:afterLines="0" w:line="400" w:lineRule="exact"/>
      </w:pPr>
      <w:bookmarkStart w:id="29" w:name="_Toc234349324"/>
      <w:bookmarkStart w:id="30" w:name="_Toc234348750"/>
      <w:bookmarkStart w:id="31" w:name="_Toc234345931"/>
      <w:bookmarkStart w:id="32" w:name="_Toc265483665"/>
      <w:bookmarkStart w:id="33" w:name="_Toc42601970"/>
      <w:bookmarkStart w:id="34" w:name="_Toc234350668"/>
      <w:bookmarkStart w:id="35" w:name="_Toc234345716"/>
      <w:r>
        <w:rPr>
          <w:rFonts w:hint="eastAsia"/>
        </w:rPr>
        <w:br w:type="page"/>
      </w:r>
      <w:r>
        <w:rPr>
          <w:rFonts w:hint="eastAsia"/>
        </w:rPr>
        <w:t>第一章  投标邀请书</w:t>
      </w:r>
    </w:p>
    <w:p>
      <w:pPr>
        <w:tabs>
          <w:tab w:val="left" w:pos="1455"/>
        </w:tabs>
        <w:spacing w:line="360" w:lineRule="auto"/>
        <w:rPr>
          <w:rFonts w:hint="eastAsia" w:ascii="宋体" w:hAnsi="宋体"/>
          <w:szCs w:val="21"/>
          <w:u w:val="single"/>
        </w:rPr>
      </w:pPr>
    </w:p>
    <w:p>
      <w:pPr>
        <w:tabs>
          <w:tab w:val="left" w:pos="1455"/>
        </w:tabs>
        <w:spacing w:line="360" w:lineRule="auto"/>
        <w:rPr>
          <w:rFonts w:ascii="宋体" w:hAnsi="宋体"/>
          <w:szCs w:val="21"/>
        </w:rPr>
      </w:pPr>
      <w:r>
        <w:rPr>
          <w:rFonts w:hint="eastAsia" w:ascii="宋体" w:hAnsi="宋体"/>
          <w:szCs w:val="21"/>
          <w:highlight w:val="yellow"/>
          <w:u w:val="single"/>
        </w:rPr>
        <w:t xml:space="preserve">                     </w:t>
      </w:r>
      <w:r>
        <w:rPr>
          <w:rFonts w:hint="eastAsia" w:ascii="宋体" w:hAnsi="宋体"/>
          <w:szCs w:val="21"/>
          <w:highlight w:val="yellow"/>
        </w:rPr>
        <w:t>（被邀请单位名称）:</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项目名称：</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工程地点：</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资金来源：</w:t>
      </w:r>
      <w:r>
        <w:rPr>
          <w:rFonts w:hint="eastAsia" w:ascii="宋体" w:hAnsi="宋体"/>
          <w:snapToGrid w:val="0"/>
          <w:kern w:val="0"/>
          <w:szCs w:val="21"/>
          <w:u w:val="single"/>
        </w:rPr>
        <w:t xml:space="preserve">                </w:t>
      </w:r>
      <w:r>
        <w:rPr>
          <w:rFonts w:hint="eastAsia" w:ascii="宋体" w:hAnsi="宋体"/>
          <w:snapToGrid w:val="0"/>
          <w:kern w:val="0"/>
          <w:szCs w:val="21"/>
        </w:rPr>
        <w:t xml:space="preserve">   出资比例：</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招标工程类型：</w:t>
      </w:r>
      <w:r>
        <w:rPr>
          <w:rFonts w:hint="eastAsia" w:ascii="宋体" w:hAnsi="宋体"/>
          <w:snapToGrid w:val="0"/>
          <w:kern w:val="0"/>
          <w:szCs w:val="21"/>
          <w:u w:val="single"/>
        </w:rPr>
        <w:t xml:space="preserve">                               </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本项目总投资额：</w:t>
      </w:r>
      <w:r>
        <w:rPr>
          <w:rFonts w:hint="eastAsia" w:ascii="宋体" w:hAnsi="宋体"/>
          <w:snapToGrid w:val="0"/>
          <w:kern w:val="0"/>
          <w:szCs w:val="21"/>
          <w:u w:val="single"/>
        </w:rPr>
        <w:t xml:space="preserve">      </w:t>
      </w:r>
      <w:r>
        <w:rPr>
          <w:rFonts w:hint="eastAsia" w:ascii="宋体" w:hAnsi="宋体"/>
          <w:szCs w:val="21"/>
          <w:u w:val="single"/>
        </w:rPr>
        <w:t>万元</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工程造价：</w:t>
      </w:r>
      <w:r>
        <w:rPr>
          <w:rFonts w:hint="eastAsia" w:ascii="宋体" w:hAnsi="宋体"/>
          <w:snapToGrid w:val="0"/>
          <w:kern w:val="0"/>
          <w:szCs w:val="21"/>
          <w:u w:val="single"/>
        </w:rPr>
        <w:t xml:space="preserve">       万元   </w:t>
      </w:r>
    </w:p>
    <w:p>
      <w:pPr>
        <w:tabs>
          <w:tab w:val="left" w:pos="8505"/>
        </w:tabs>
        <w:snapToGrid w:val="0"/>
        <w:spacing w:line="400" w:lineRule="exact"/>
        <w:ind w:right="46" w:rightChars="22"/>
        <w:jc w:val="left"/>
        <w:rPr>
          <w:rFonts w:ascii="宋体" w:hAnsi="宋体"/>
          <w:snapToGrid w:val="0"/>
          <w:kern w:val="0"/>
          <w:szCs w:val="21"/>
        </w:rPr>
      </w:pPr>
      <w:r>
        <w:rPr>
          <w:rFonts w:hint="eastAsia" w:ascii="宋体" w:hAnsi="宋体"/>
          <w:snapToGrid w:val="0"/>
          <w:kern w:val="0"/>
          <w:szCs w:val="21"/>
        </w:rPr>
        <w:t>技术等级：</w:t>
      </w:r>
      <w:r>
        <w:rPr>
          <w:rFonts w:hint="eastAsia" w:ascii="宋体" w:hAnsi="宋体"/>
          <w:snapToGrid w:val="0"/>
          <w:kern w:val="0"/>
          <w:szCs w:val="21"/>
          <w:u w:val="single"/>
        </w:rPr>
        <w:t xml:space="preserve">             </w:t>
      </w:r>
      <w:r>
        <w:rPr>
          <w:rFonts w:hint="eastAsia" w:ascii="宋体" w:hAnsi="宋体"/>
          <w:snapToGrid w:val="0"/>
          <w:kern w:val="0"/>
          <w:szCs w:val="21"/>
        </w:rPr>
        <w:t xml:space="preserve">            工程规模：</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计划文号：</w:t>
      </w:r>
      <w:r>
        <w:rPr>
          <w:rFonts w:hint="eastAsia" w:ascii="宋体" w:hAnsi="宋体"/>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建设单位联系人：</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建设单位联系电话：</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招标单位联系人：</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招标单位联系电话：</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招标代理单位联系人：</w:t>
      </w:r>
      <w:r>
        <w:rPr>
          <w:rFonts w:hint="eastAsia" w:ascii="宋体" w:hAnsi="宋体"/>
          <w:szCs w:val="21"/>
          <w:u w:val="single"/>
        </w:rPr>
        <w:t xml:space="preserve">     </w:t>
      </w:r>
      <w:r>
        <w:rPr>
          <w:rFonts w:hint="eastAsia" w:ascii="宋体" w:hAnsi="宋体"/>
          <w:szCs w:val="21"/>
        </w:rPr>
        <w:t xml:space="preserve">               招标代理单位联系电话：</w:t>
      </w:r>
      <w:r>
        <w:rPr>
          <w:rFonts w:hint="eastAsia" w:ascii="宋体" w:hAnsi="宋体"/>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全市统一项目编码：</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是否绿色通道项目：</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b/>
          <w:szCs w:val="21"/>
        </w:rPr>
      </w:pPr>
      <w:r>
        <w:rPr>
          <w:rFonts w:hint="eastAsia" w:ascii="宋体" w:hAnsi="宋体"/>
          <w:b/>
          <w:szCs w:val="21"/>
        </w:rPr>
        <w:t>一、项目基本情况</w:t>
      </w:r>
    </w:p>
    <w:p>
      <w:pPr>
        <w:tabs>
          <w:tab w:val="left" w:pos="8505"/>
        </w:tabs>
        <w:snapToGrid w:val="0"/>
        <w:spacing w:line="400" w:lineRule="exact"/>
        <w:ind w:right="46" w:rightChars="22" w:firstLine="420" w:firstLineChars="200"/>
        <w:rPr>
          <w:rFonts w:ascii="宋体" w:hAnsi="宋体"/>
          <w:snapToGrid w:val="0"/>
          <w:kern w:val="0"/>
          <w:szCs w:val="21"/>
          <w:u w:val="single"/>
        </w:rPr>
      </w:pPr>
      <w:r>
        <w:rPr>
          <w:rFonts w:ascii="宋体" w:hAnsi="宋体"/>
          <w:snapToGrid w:val="0"/>
          <w:kern w:val="0"/>
          <w:szCs w:val="21"/>
        </w:rPr>
        <w:t>1</w:t>
      </w:r>
      <w:r>
        <w:rPr>
          <w:rFonts w:hint="eastAsia" w:ascii="宋体" w:hAnsi="宋体"/>
          <w:snapToGrid w:val="0"/>
          <w:kern w:val="0"/>
          <w:szCs w:val="21"/>
        </w:rPr>
        <w:t>.工程内容</w:t>
      </w:r>
      <w:r>
        <w:rPr>
          <w:rFonts w:ascii="宋体" w:hAnsi="宋体"/>
          <w:snapToGrid w:val="0"/>
          <w:kern w:val="0"/>
          <w:szCs w:val="21"/>
        </w:rPr>
        <w:t>：</w:t>
      </w:r>
      <w:r>
        <w:rPr>
          <w:rFonts w:hint="eastAsia" w:ascii="宋体" w:hAnsi="宋体"/>
          <w:snapToGrid w:val="0"/>
          <w:kern w:val="0"/>
          <w:szCs w:val="21"/>
          <w:u w:val="single"/>
        </w:rPr>
        <w:t xml:space="preserve">            </w:t>
      </w:r>
    </w:p>
    <w:p>
      <w:pPr>
        <w:tabs>
          <w:tab w:val="left" w:pos="8505"/>
        </w:tabs>
        <w:snapToGrid w:val="0"/>
        <w:spacing w:line="400" w:lineRule="exact"/>
        <w:ind w:right="46" w:rightChars="22" w:firstLine="420" w:firstLineChars="200"/>
        <w:rPr>
          <w:rFonts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w:t>
      </w:r>
      <w:r>
        <w:rPr>
          <w:rFonts w:ascii="宋体" w:hAnsi="宋体"/>
          <w:snapToGrid w:val="0"/>
          <w:kern w:val="0"/>
          <w:szCs w:val="21"/>
        </w:rPr>
        <w:t>招标内容：</w:t>
      </w:r>
      <w:r>
        <w:rPr>
          <w:rFonts w:hint="eastAsia" w:ascii="宋体" w:hAnsi="宋体"/>
          <w:snapToGrid w:val="0"/>
          <w:kern w:val="0"/>
          <w:szCs w:val="21"/>
          <w:u w:val="single"/>
        </w:rPr>
        <w:t xml:space="preserve">            </w:t>
      </w:r>
    </w:p>
    <w:p>
      <w:pPr>
        <w:tabs>
          <w:tab w:val="left" w:pos="8505"/>
        </w:tabs>
        <w:snapToGrid w:val="0"/>
        <w:spacing w:line="400" w:lineRule="exact"/>
        <w:ind w:right="46" w:rightChars="22" w:firstLine="420" w:firstLineChars="200"/>
        <w:rPr>
          <w:rFonts w:ascii="宋体" w:hAnsi="宋体"/>
          <w:snapToGrid w:val="0"/>
          <w:kern w:val="0"/>
          <w:szCs w:val="21"/>
          <w:u w:val="single"/>
        </w:rPr>
      </w:pPr>
      <w:r>
        <w:rPr>
          <w:rFonts w:hint="eastAsia" w:ascii="宋体" w:hAnsi="宋体"/>
          <w:snapToGrid w:val="0"/>
          <w:kern w:val="0"/>
          <w:szCs w:val="21"/>
        </w:rPr>
        <w:t>3.标段划分：</w:t>
      </w:r>
      <w:r>
        <w:rPr>
          <w:rFonts w:hint="eastAsia" w:ascii="宋体" w:hAnsi="宋体"/>
          <w:snapToGrid w:val="0"/>
          <w:kern w:val="0"/>
          <w:szCs w:val="21"/>
          <w:u w:val="single"/>
        </w:rPr>
        <w:t xml:space="preserve">              </w:t>
      </w:r>
    </w:p>
    <w:p>
      <w:pPr>
        <w:tabs>
          <w:tab w:val="left" w:pos="1455"/>
        </w:tabs>
        <w:spacing w:line="440" w:lineRule="exact"/>
        <w:rPr>
          <w:rFonts w:ascii="宋体" w:hAnsi="宋体"/>
          <w:b/>
          <w:szCs w:val="21"/>
        </w:rPr>
      </w:pPr>
      <w:r>
        <w:rPr>
          <w:rFonts w:hint="eastAsia" w:ascii="宋体" w:hAnsi="宋体"/>
          <w:b/>
          <w:szCs w:val="21"/>
        </w:rPr>
        <w:t>二、投标企业应具有的条件</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1.</w:t>
      </w:r>
      <w:r>
        <w:rPr>
          <w:rFonts w:ascii="宋体" w:hAnsi="宋体"/>
          <w:szCs w:val="21"/>
          <w:u w:val="single"/>
        </w:rPr>
        <w:t>对投标企业的资质</w:t>
      </w:r>
      <w:r>
        <w:rPr>
          <w:rFonts w:hint="eastAsia" w:ascii="宋体" w:hAnsi="宋体"/>
          <w:szCs w:val="21"/>
          <w:u w:val="single"/>
        </w:rPr>
        <w:t>要求</w:t>
      </w:r>
      <w:r>
        <w:rPr>
          <w:rFonts w:ascii="宋体" w:hAnsi="宋体"/>
          <w:szCs w:val="21"/>
          <w:u w:val="single"/>
        </w:rPr>
        <w:t>为</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2.</w:t>
      </w:r>
      <w:r>
        <w:rPr>
          <w:rFonts w:ascii="宋体" w:hAnsi="宋体"/>
          <w:szCs w:val="21"/>
          <w:u w:val="single"/>
        </w:rPr>
        <w:t>对</w:t>
      </w:r>
      <w:r>
        <w:rPr>
          <w:rFonts w:hint="eastAsia" w:ascii="宋体" w:hAnsi="宋体"/>
          <w:szCs w:val="21"/>
          <w:u w:val="single"/>
        </w:rPr>
        <w:t>主要人员</w:t>
      </w:r>
      <w:r>
        <w:rPr>
          <w:rFonts w:ascii="宋体" w:hAnsi="宋体"/>
          <w:szCs w:val="21"/>
          <w:u w:val="single"/>
        </w:rPr>
        <w:t>要求</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3.本次招标接受/不接受联合体投标</w:t>
      </w:r>
      <w:r>
        <w:rPr>
          <w:rFonts w:ascii="宋体" w:hAnsi="宋体"/>
          <w:szCs w:val="21"/>
          <w:u w:val="single"/>
        </w:rPr>
        <w:t>。</w:t>
      </w:r>
    </w:p>
    <w:p>
      <w:pPr>
        <w:tabs>
          <w:tab w:val="left" w:pos="1455"/>
        </w:tabs>
        <w:spacing w:line="440" w:lineRule="exact"/>
        <w:ind w:firstLine="420" w:firstLineChars="200"/>
        <w:rPr>
          <w:rFonts w:ascii="宋体" w:hAnsi="宋体"/>
          <w:szCs w:val="21"/>
        </w:rPr>
      </w:pPr>
    </w:p>
    <w:p>
      <w:pPr>
        <w:tabs>
          <w:tab w:val="left" w:pos="1455"/>
        </w:tabs>
        <w:spacing w:line="440" w:lineRule="exact"/>
        <w:ind w:firstLine="420" w:firstLineChars="200"/>
        <w:rPr>
          <w:rFonts w:ascii="宋体" w:hAnsi="宋体"/>
          <w:szCs w:val="21"/>
        </w:rPr>
      </w:pPr>
    </w:p>
    <w:p>
      <w:pPr>
        <w:tabs>
          <w:tab w:val="left" w:pos="1455"/>
        </w:tabs>
        <w:spacing w:line="440" w:lineRule="exact"/>
        <w:rPr>
          <w:rFonts w:ascii="宋体" w:hAnsi="宋体"/>
          <w:b/>
          <w:szCs w:val="21"/>
        </w:rPr>
      </w:pPr>
      <w:r>
        <w:rPr>
          <w:rFonts w:hint="eastAsia" w:ascii="宋体" w:hAnsi="宋体"/>
          <w:b/>
          <w:szCs w:val="21"/>
        </w:rPr>
        <w:t>三、</w:t>
      </w:r>
      <w:r>
        <w:rPr>
          <w:rFonts w:hint="eastAsia" w:ascii="宋体" w:hAnsi="宋体"/>
          <w:b/>
          <w:bCs/>
          <w:szCs w:val="21"/>
        </w:rPr>
        <w:t>资格审查办法和方式</w:t>
      </w:r>
    </w:p>
    <w:p>
      <w:pPr>
        <w:tabs>
          <w:tab w:val="left" w:pos="1455"/>
        </w:tabs>
        <w:spacing w:line="440" w:lineRule="exact"/>
        <w:ind w:firstLine="420" w:firstLineChars="200"/>
        <w:rPr>
          <w:rFonts w:ascii="宋体" w:hAnsi="宋体"/>
          <w:szCs w:val="21"/>
        </w:rPr>
      </w:pPr>
      <w:r>
        <w:rPr>
          <w:rFonts w:hint="eastAsia" w:ascii="宋体" w:hAnsi="宋体"/>
          <w:szCs w:val="21"/>
        </w:rPr>
        <w:t>资格后审/资格预审，合格制/有限数量制。</w:t>
      </w:r>
    </w:p>
    <w:p>
      <w:pPr>
        <w:tabs>
          <w:tab w:val="left" w:pos="1455"/>
        </w:tabs>
        <w:spacing w:line="440" w:lineRule="exact"/>
        <w:rPr>
          <w:rFonts w:ascii="宋体" w:hAnsi="宋体"/>
          <w:szCs w:val="21"/>
        </w:rPr>
      </w:pPr>
      <w:r>
        <w:rPr>
          <w:rFonts w:hint="eastAsia" w:ascii="宋体" w:hAnsi="宋体"/>
          <w:b/>
          <w:bCs/>
          <w:szCs w:val="21"/>
        </w:rPr>
        <w:t>四、评标办法</w:t>
      </w:r>
    </w:p>
    <w:p>
      <w:pPr>
        <w:tabs>
          <w:tab w:val="left" w:pos="1455"/>
        </w:tabs>
        <w:spacing w:line="440" w:lineRule="exact"/>
        <w:ind w:firstLine="420" w:firstLineChars="200"/>
        <w:rPr>
          <w:rFonts w:hint="eastAsia" w:ascii="宋体" w:hAnsi="宋体" w:eastAsia="宋体"/>
          <w:szCs w:val="21"/>
          <w:lang w:eastAsia="zh-CN"/>
        </w:rPr>
      </w:pPr>
      <w:r>
        <w:rPr>
          <w:rFonts w:hint="eastAsia" w:ascii="宋体" w:hAnsi="宋体"/>
          <w:szCs w:val="21"/>
          <w:lang w:val="en-US" w:eastAsia="zh-CN"/>
        </w:rPr>
        <w:t xml:space="preserve"> </w:t>
      </w:r>
    </w:p>
    <w:p>
      <w:pPr>
        <w:tabs>
          <w:tab w:val="left" w:pos="1455"/>
        </w:tabs>
        <w:spacing w:line="440" w:lineRule="exact"/>
        <w:rPr>
          <w:rFonts w:hint="default" w:ascii="宋体" w:hAnsi="宋体" w:eastAsia="宋体"/>
          <w:szCs w:val="21"/>
          <w:lang w:val="en-US" w:eastAsia="zh-CN"/>
        </w:rPr>
      </w:pPr>
      <w:r>
        <w:rPr>
          <w:rFonts w:hint="eastAsia" w:ascii="宋体" w:hAnsi="宋体"/>
          <w:b/>
          <w:bCs/>
          <w:szCs w:val="21"/>
        </w:rPr>
        <w:t>五、</w:t>
      </w:r>
      <w:r>
        <w:rPr>
          <w:rFonts w:hint="eastAsia" w:ascii="宋体" w:hAnsi="宋体"/>
          <w:b/>
          <w:bCs/>
          <w:szCs w:val="21"/>
          <w:lang w:val="en-US" w:eastAsia="zh-CN"/>
        </w:rPr>
        <w:t>.....</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六、</w:t>
      </w:r>
      <w:r>
        <w:rPr>
          <w:rFonts w:ascii="宋体" w:hAnsi="宋体"/>
          <w:b/>
          <w:bCs/>
          <w:szCs w:val="21"/>
          <w:highlight w:val="yellow"/>
        </w:rPr>
        <w:t>招标文件的获取</w:t>
      </w:r>
    </w:p>
    <w:p>
      <w:pPr>
        <w:tabs>
          <w:tab w:val="left" w:pos="1455"/>
        </w:tabs>
        <w:spacing w:line="440" w:lineRule="exact"/>
        <w:ind w:firstLine="420" w:firstLineChars="200"/>
        <w:rPr>
          <w:rFonts w:ascii="宋体" w:hAnsi="宋体"/>
          <w:szCs w:val="21"/>
          <w:highlight w:val="yellow"/>
        </w:rPr>
      </w:pPr>
      <w:r>
        <w:rPr>
          <w:rFonts w:hint="eastAsia" w:ascii="宋体" w:hAnsi="宋体"/>
          <w:szCs w:val="21"/>
          <w:highlight w:val="yellow"/>
        </w:rPr>
        <w:t>开标时间前在全国公共资源交易平台（山东省青岛市）青岛市公共资源交易电子服务系统（http://ggzy.qingdao.gov.cn）本项目招标公告页面免费下载招标文件。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七、</w:t>
      </w:r>
      <w:r>
        <w:rPr>
          <w:rFonts w:ascii="宋体" w:hAnsi="宋体"/>
          <w:b/>
          <w:bCs/>
          <w:szCs w:val="21"/>
          <w:highlight w:val="yellow"/>
        </w:rPr>
        <w:t>投标文件的递交</w:t>
      </w:r>
    </w:p>
    <w:p>
      <w:pPr>
        <w:tabs>
          <w:tab w:val="left" w:pos="1455"/>
        </w:tabs>
        <w:spacing w:line="440" w:lineRule="exact"/>
        <w:ind w:firstLine="420" w:firstLineChars="200"/>
        <w:rPr>
          <w:rFonts w:ascii="宋体" w:hAnsi="宋体"/>
          <w:szCs w:val="21"/>
          <w:highlight w:val="yellow"/>
        </w:rPr>
      </w:pPr>
      <w:r>
        <w:rPr>
          <w:rFonts w:hint="eastAsia" w:ascii="宋体" w:hAnsi="宋体"/>
          <w:szCs w:val="21"/>
          <w:highlight w:val="yellow"/>
        </w:rPr>
        <w:t>投标人应当在投标截止时间前，通过【青岛市公共资源投标文件制作工具】上传投标文件。本项目不接受纸质投标文件。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八、投标截止时间、开标时间及地点</w:t>
      </w:r>
    </w:p>
    <w:p>
      <w:pPr>
        <w:tabs>
          <w:tab w:val="left" w:pos="1455"/>
        </w:tabs>
        <w:spacing w:line="440" w:lineRule="exact"/>
        <w:ind w:firstLine="420" w:firstLineChars="200"/>
        <w:rPr>
          <w:rFonts w:ascii="宋体" w:hAnsi="宋体"/>
          <w:bCs/>
          <w:szCs w:val="21"/>
          <w:highlight w:val="yellow"/>
          <w:u w:val="single"/>
        </w:rPr>
      </w:pPr>
      <w:r>
        <w:rPr>
          <w:rFonts w:hint="eastAsia" w:ascii="宋体" w:hAnsi="宋体"/>
          <w:bCs/>
          <w:szCs w:val="21"/>
          <w:highlight w:val="yellow"/>
        </w:rPr>
        <w:t>投标截止时间、开标时间：</w:t>
      </w:r>
      <w:r>
        <w:rPr>
          <w:rFonts w:hint="eastAsia" w:ascii="宋体" w:hAnsi="宋体"/>
          <w:bCs/>
          <w:szCs w:val="21"/>
          <w:highlight w:val="yellow"/>
          <w:u w:val="single"/>
        </w:rPr>
        <w:t xml:space="preserve">      </w:t>
      </w:r>
    </w:p>
    <w:p>
      <w:pPr>
        <w:tabs>
          <w:tab w:val="left" w:pos="1455"/>
        </w:tabs>
        <w:spacing w:line="440" w:lineRule="exact"/>
        <w:ind w:firstLine="420" w:firstLineChars="200"/>
        <w:rPr>
          <w:rFonts w:ascii="宋体" w:hAnsi="宋体"/>
          <w:szCs w:val="21"/>
          <w:highlight w:val="yellow"/>
          <w:u w:val="single"/>
        </w:rPr>
      </w:pPr>
      <w:r>
        <w:rPr>
          <w:rFonts w:hint="eastAsia" w:ascii="宋体" w:hAnsi="宋体"/>
          <w:bCs/>
          <w:szCs w:val="21"/>
          <w:highlight w:val="yellow"/>
        </w:rPr>
        <w:t>开标地点：</w:t>
      </w:r>
      <w:r>
        <w:rPr>
          <w:rFonts w:hint="eastAsia" w:ascii="宋体" w:hAnsi="宋体"/>
          <w:bCs/>
          <w:szCs w:val="21"/>
          <w:highlight w:val="yellow"/>
          <w:u w:val="single"/>
        </w:rPr>
        <w:t xml:space="preserve">       </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九、发布公告的媒介</w:t>
      </w:r>
    </w:p>
    <w:p>
      <w:pPr>
        <w:tabs>
          <w:tab w:val="left" w:pos="1455"/>
        </w:tabs>
        <w:spacing w:line="440" w:lineRule="exact"/>
        <w:ind w:firstLine="420" w:firstLineChars="200"/>
        <w:rPr>
          <w:rFonts w:ascii="宋体" w:hAnsi="宋体"/>
          <w:szCs w:val="21"/>
        </w:rPr>
      </w:pPr>
      <w:r>
        <w:rPr>
          <w:rFonts w:hint="eastAsia" w:ascii="宋体" w:hAnsi="宋体"/>
          <w:szCs w:val="21"/>
          <w:highlight w:val="yellow"/>
        </w:rPr>
        <w:t>本次招标公告同时在全国公共资源交易平台（山东省青岛市）青岛市公共资源交易电子服务系统（http://ggzy.qingdao.gov.cn）上发布。招标文件的下载、澄清和修改均在全国公共资源交易平台（山东省青岛市）青岛市公共资源交易电子服务系统（http://ggzy.qingdao.gov.cn）招标公告页面。</w:t>
      </w:r>
    </w:p>
    <w:p>
      <w:pPr>
        <w:tabs>
          <w:tab w:val="left" w:pos="1455"/>
        </w:tabs>
        <w:spacing w:line="440" w:lineRule="exact"/>
        <w:rPr>
          <w:rFonts w:ascii="宋体" w:hAnsi="宋体"/>
          <w:b/>
          <w:bCs/>
          <w:szCs w:val="21"/>
        </w:rPr>
      </w:pPr>
      <w:r>
        <w:rPr>
          <w:rFonts w:hint="eastAsia" w:ascii="宋体" w:hAnsi="宋体"/>
          <w:b/>
          <w:bCs/>
          <w:szCs w:val="21"/>
        </w:rPr>
        <w:t>十、其他说明</w:t>
      </w:r>
    </w:p>
    <w:p>
      <w:pPr>
        <w:tabs>
          <w:tab w:val="left" w:pos="1455"/>
        </w:tabs>
        <w:spacing w:line="440" w:lineRule="exact"/>
        <w:ind w:firstLine="420" w:firstLineChars="200"/>
        <w:rPr>
          <w:rFonts w:ascii="宋体" w:hAnsi="宋体"/>
          <w:szCs w:val="21"/>
        </w:rPr>
      </w:pPr>
      <w:r>
        <w:rPr>
          <w:rFonts w:hint="eastAsia" w:ascii="宋体" w:hAnsi="宋体"/>
          <w:szCs w:val="21"/>
          <w:highlight w:val="yellow"/>
        </w:rPr>
        <w:t>1．网上技术支持电话：0532-85871505</w:t>
      </w:r>
    </w:p>
    <w:p>
      <w:pPr>
        <w:ind w:firstLine="420" w:firstLineChars="200"/>
        <w:rPr>
          <w:rFonts w:hint="default" w:eastAsia="宋体"/>
          <w:lang w:val="en-US" w:eastAsia="zh-CN"/>
        </w:rPr>
      </w:pPr>
      <w:r>
        <w:rPr>
          <w:rFonts w:hint="eastAsia" w:ascii="宋体" w:hAnsi="宋体"/>
          <w:szCs w:val="21"/>
          <w:lang w:val="en-US" w:eastAsia="zh-CN"/>
        </w:rPr>
        <w:t>2.....</w:t>
      </w:r>
    </w:p>
    <w:p>
      <w:pPr>
        <w:pStyle w:val="2"/>
        <w:spacing w:beforeLines="0" w:afterLines="0" w:line="400" w:lineRule="exact"/>
        <w:rPr>
          <w:rFonts w:hint="eastAsia"/>
          <w:szCs w:val="32"/>
        </w:rPr>
      </w:pPr>
      <w:r>
        <w:rPr>
          <w:rFonts w:hint="eastAsia"/>
        </w:rPr>
        <w:br w:type="page"/>
      </w:r>
      <w:bookmarkStart w:id="36" w:name="_Toc184635068"/>
      <w:r>
        <w:rPr>
          <w:rFonts w:hint="eastAsia"/>
          <w:color w:val="FF0000"/>
          <w:szCs w:val="32"/>
        </w:rPr>
        <w:t>第一章 投标邀请书（代资格预审通过通知书）</w:t>
      </w:r>
      <w:bookmarkEnd w:id="36"/>
    </w:p>
    <w:p>
      <w:pPr>
        <w:pStyle w:val="2"/>
        <w:spacing w:beforeLines="0" w:afterLines="0" w:line="400" w:lineRule="exact"/>
        <w:rPr>
          <w:rFonts w:hint="eastAsia"/>
          <w:szCs w:val="32"/>
        </w:rPr>
      </w:pPr>
    </w:p>
    <w:p>
      <w:pPr>
        <w:spacing w:line="360" w:lineRule="auto"/>
        <w:rPr>
          <w:rFonts w:hint="eastAsia" w:ascii="宋体" w:hAnsi="宋体"/>
          <w:b/>
          <w:sz w:val="24"/>
          <w:u w:val="single"/>
        </w:rPr>
      </w:pPr>
    </w:p>
    <w:p>
      <w:pPr>
        <w:spacing w:line="360" w:lineRule="auto"/>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rPr>
        <w:t xml:space="preserve">（被邀请单位名称）: </w:t>
      </w:r>
    </w:p>
    <w:p>
      <w:pPr>
        <w:pStyle w:val="2"/>
        <w:spacing w:beforeLines="0" w:afterLines="0" w:line="400" w:lineRule="exact"/>
        <w:ind w:firstLine="420" w:firstLineChars="200"/>
        <w:jc w:val="left"/>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rPr>
        <w:t>你单位已通过资格预审，现邀请你单位按招标文件规定的内容，参加</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rPr>
        <w:t>＿（项目名称）</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rPr>
        <w:t>标段施工投标。</w:t>
      </w:r>
    </w:p>
    <w:p>
      <w:pPr>
        <w:pStyle w:val="2"/>
        <w:spacing w:beforeLines="0" w:afterLines="0" w:line="400" w:lineRule="exact"/>
        <w:ind w:firstLine="420" w:firstLineChars="200"/>
        <w:jc w:val="left"/>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rPr>
        <w:t>请你单位开标时间前在全国公共资源交易平台（山东省青岛市）青岛市公共资源交易电子服务系统（http://ggzy.qingdao.gov.cn）本项目</w:t>
      </w:r>
      <w:r>
        <w:rPr>
          <w:rFonts w:hint="eastAsia" w:ascii="仿宋" w:hAnsi="仿宋" w:eastAsia="仿宋" w:cs="仿宋"/>
          <w:b w:val="0"/>
          <w:bCs/>
          <w:sz w:val="21"/>
          <w:szCs w:val="21"/>
          <w:highlight w:val="yellow"/>
          <w:lang w:eastAsia="zh-CN"/>
        </w:rPr>
        <w:t>资格预审</w:t>
      </w:r>
      <w:r>
        <w:rPr>
          <w:rFonts w:hint="eastAsia" w:ascii="仿宋" w:hAnsi="仿宋" w:eastAsia="仿宋" w:cs="仿宋"/>
          <w:b w:val="0"/>
          <w:bCs/>
          <w:sz w:val="21"/>
          <w:szCs w:val="21"/>
          <w:highlight w:val="yellow"/>
        </w:rPr>
        <w:t>公告页面免费下载招标文件。</w:t>
      </w:r>
    </w:p>
    <w:p>
      <w:pPr>
        <w:tabs>
          <w:tab w:val="left" w:pos="1455"/>
        </w:tabs>
        <w:spacing w:line="440" w:lineRule="exact"/>
        <w:ind w:firstLine="420" w:firstLineChars="200"/>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lang w:eastAsia="zh-CN"/>
        </w:rPr>
        <w:t>你单位</w:t>
      </w:r>
      <w:r>
        <w:rPr>
          <w:rFonts w:hint="eastAsia" w:ascii="仿宋" w:hAnsi="仿宋" w:eastAsia="仿宋" w:cs="仿宋"/>
          <w:b w:val="0"/>
          <w:bCs/>
          <w:sz w:val="21"/>
          <w:szCs w:val="21"/>
          <w:highlight w:val="yellow"/>
        </w:rPr>
        <w:t>应当在投标截止时间前，通过【青岛市公共资源投标文件制作工具】上传投标文件。本项目不接受纸质投标文件。</w:t>
      </w:r>
    </w:p>
    <w:p>
      <w:pPr>
        <w:tabs>
          <w:tab w:val="left" w:pos="1455"/>
        </w:tabs>
        <w:spacing w:line="440" w:lineRule="exact"/>
        <w:ind w:firstLine="420" w:firstLineChars="200"/>
        <w:rPr>
          <w:rFonts w:hint="eastAsia" w:ascii="仿宋" w:hAnsi="仿宋" w:eastAsia="仿宋" w:cs="仿宋"/>
          <w:b w:val="0"/>
          <w:bCs/>
          <w:sz w:val="21"/>
          <w:szCs w:val="21"/>
          <w:highlight w:val="yellow"/>
          <w:u w:val="single"/>
          <w:lang w:eastAsia="zh-CN"/>
        </w:rPr>
      </w:pPr>
      <w:r>
        <w:rPr>
          <w:rFonts w:hint="eastAsia" w:ascii="仿宋" w:hAnsi="仿宋" w:eastAsia="仿宋" w:cs="仿宋"/>
          <w:b w:val="0"/>
          <w:bCs/>
          <w:sz w:val="21"/>
          <w:szCs w:val="21"/>
          <w:highlight w:val="yellow"/>
        </w:rPr>
        <w:t>投标截止时间、开标时间：</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u w:val="single"/>
          <w:lang w:eastAsia="zh-CN"/>
        </w:rPr>
        <w:t>。</w:t>
      </w:r>
    </w:p>
    <w:p>
      <w:pPr>
        <w:pStyle w:val="2"/>
        <w:spacing w:beforeLines="0" w:afterLines="0" w:line="400" w:lineRule="exact"/>
        <w:ind w:firstLine="420" w:firstLineChars="200"/>
        <w:jc w:val="left"/>
        <w:rPr>
          <w:rFonts w:hint="eastAsia" w:ascii="仿宋" w:hAnsi="仿宋" w:eastAsia="仿宋" w:cs="仿宋"/>
          <w:b w:val="0"/>
          <w:bCs/>
          <w:sz w:val="21"/>
          <w:szCs w:val="21"/>
          <w:highlight w:val="yellow"/>
          <w:u w:val="single"/>
          <w:lang w:eastAsia="zh-CN"/>
        </w:rPr>
      </w:pPr>
      <w:r>
        <w:rPr>
          <w:rFonts w:hint="eastAsia" w:ascii="仿宋" w:hAnsi="仿宋" w:eastAsia="仿宋" w:cs="仿宋"/>
          <w:b w:val="0"/>
          <w:bCs/>
          <w:sz w:val="21"/>
          <w:szCs w:val="21"/>
          <w:highlight w:val="yellow"/>
        </w:rPr>
        <w:t>开标地点：</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u w:val="single"/>
          <w:lang w:eastAsia="zh-CN"/>
        </w:rPr>
        <w:t>。</w:t>
      </w:r>
    </w:p>
    <w:p>
      <w:pPr>
        <w:pStyle w:val="2"/>
        <w:spacing w:beforeLines="0" w:afterLines="0" w:line="400" w:lineRule="exact"/>
        <w:ind w:firstLine="420" w:firstLineChars="200"/>
        <w:jc w:val="left"/>
        <w:rPr>
          <w:rFonts w:hint="default" w:ascii="仿宋" w:hAnsi="仿宋" w:eastAsia="仿宋" w:cs="仿宋"/>
          <w:b w:val="0"/>
          <w:bCs/>
          <w:sz w:val="21"/>
          <w:szCs w:val="21"/>
          <w:highlight w:val="yellow"/>
          <w:u w:val="single"/>
          <w:lang w:val="en-US" w:eastAsia="zh-CN"/>
        </w:rPr>
      </w:pPr>
      <w:r>
        <w:rPr>
          <w:rFonts w:hint="eastAsia" w:ascii="仿宋" w:hAnsi="仿宋" w:eastAsia="仿宋" w:cs="仿宋"/>
          <w:b w:val="0"/>
          <w:bCs/>
          <w:sz w:val="21"/>
          <w:szCs w:val="21"/>
          <w:highlight w:val="none"/>
          <w:u w:val="none"/>
          <w:lang w:val="en-US" w:eastAsia="zh-CN"/>
        </w:rPr>
        <w:t>.......</w:t>
      </w:r>
    </w:p>
    <w:p>
      <w:pPr>
        <w:rPr>
          <w:rFonts w:hint="eastAsia"/>
          <w:lang w:eastAsia="zh-CN"/>
        </w:rPr>
      </w:pPr>
    </w:p>
    <w:p>
      <w:pPr>
        <w:spacing w:line="360" w:lineRule="auto"/>
        <w:ind w:firstLine="420" w:firstLineChars="200"/>
        <w:rPr>
          <w:rFonts w:hint="eastAsia" w:ascii="宋体" w:hAnsi="宋体"/>
          <w:szCs w:val="21"/>
        </w:rPr>
      </w:pPr>
      <w:r>
        <w:rPr>
          <w:rFonts w:hint="eastAsia" w:ascii="宋体" w:hAnsi="宋体"/>
          <w:szCs w:val="21"/>
        </w:rPr>
        <w:t>招标人：</w:t>
      </w:r>
      <w:r>
        <w:rPr>
          <w:rFonts w:hint="eastAsia" w:ascii="宋体" w:hAnsi="宋体"/>
          <w:szCs w:val="21"/>
          <w:u w:val="single"/>
        </w:rPr>
        <w:t xml:space="preserve">                            </w:t>
      </w:r>
      <w:r>
        <w:rPr>
          <w:rFonts w:hint="eastAsia" w:ascii="宋体" w:hAnsi="宋体"/>
          <w:szCs w:val="21"/>
        </w:rPr>
        <w:t xml:space="preserve">         招标代理机构：</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邮  编：</w:t>
      </w:r>
      <w:r>
        <w:rPr>
          <w:rFonts w:hint="eastAsia" w:ascii="宋体" w:hAnsi="宋体"/>
          <w:szCs w:val="21"/>
          <w:u w:val="single"/>
        </w:rPr>
        <w:t xml:space="preserve">                            </w:t>
      </w:r>
      <w:r>
        <w:rPr>
          <w:rFonts w:hint="eastAsia" w:ascii="宋体" w:hAnsi="宋体"/>
          <w:szCs w:val="21"/>
        </w:rPr>
        <w:t xml:space="preserve">         邮        编：</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         联   系   人：</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pStyle w:val="2"/>
        <w:spacing w:beforeLines="0" w:afterLines="0" w:line="400" w:lineRule="exact"/>
        <w:ind w:firstLine="420" w:firstLineChars="200"/>
        <w:jc w:val="left"/>
        <w:rPr>
          <w:rFonts w:hint="eastAsia" w:ascii="仿宋" w:hAnsi="仿宋" w:eastAsia="仿宋" w:cs="仿宋"/>
          <w:b w:val="0"/>
          <w:bCs/>
          <w:sz w:val="21"/>
          <w:szCs w:val="21"/>
        </w:rPr>
      </w:pPr>
    </w:p>
    <w:p>
      <w:pPr>
        <w:pStyle w:val="2"/>
        <w:spacing w:beforeLines="0" w:afterLines="0" w:line="400" w:lineRule="exact"/>
        <w:ind w:firstLine="4620" w:firstLineChars="2200"/>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 </w:t>
      </w:r>
    </w:p>
    <w:p>
      <w:pPr>
        <w:pStyle w:val="2"/>
        <w:spacing w:beforeLines="0" w:afterLines="0" w:line="400" w:lineRule="exact"/>
        <w:ind w:firstLine="5250" w:firstLineChars="2500"/>
        <w:jc w:val="left"/>
        <w:rPr>
          <w:rFonts w:hint="eastAsia" w:ascii="仿宋" w:hAnsi="仿宋" w:eastAsia="仿宋" w:cs="仿宋"/>
          <w:b w:val="0"/>
          <w:bCs/>
          <w:sz w:val="21"/>
          <w:szCs w:val="21"/>
          <w:lang w:eastAsia="zh-CN"/>
        </w:rPr>
      </w:pP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lang w:eastAsia="zh-CN"/>
        </w:rPr>
        <w:t>年</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lang w:eastAsia="zh-CN"/>
        </w:rPr>
        <w:t>月</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lang w:eastAsia="zh-CN"/>
        </w:rPr>
        <w:t>日</w:t>
      </w:r>
    </w:p>
    <w:p>
      <w:pPr>
        <w:pStyle w:val="2"/>
        <w:spacing w:beforeLines="0" w:afterLines="0" w:line="400" w:lineRule="exact"/>
        <w:jc w:val="center"/>
      </w:pPr>
      <w:r>
        <w:rPr>
          <w:rFonts w:hint="eastAsia"/>
        </w:rPr>
        <w:br w:type="page"/>
      </w:r>
      <w:r>
        <w:rPr>
          <w:rFonts w:hint="eastAsia"/>
        </w:rPr>
        <w:t>第二章  投标人须知</w:t>
      </w:r>
      <w:bookmarkEnd w:id="29"/>
      <w:bookmarkEnd w:id="30"/>
      <w:bookmarkEnd w:id="31"/>
      <w:bookmarkEnd w:id="32"/>
      <w:bookmarkEnd w:id="33"/>
      <w:bookmarkEnd w:id="34"/>
      <w:bookmarkEnd w:id="35"/>
    </w:p>
    <w:p>
      <w:pPr>
        <w:adjustRightInd w:val="0"/>
        <w:ind w:right="480"/>
        <w:rPr>
          <w:rFonts w:ascii="宋体"/>
          <w:b/>
          <w:sz w:val="28"/>
          <w:szCs w:val="28"/>
        </w:rPr>
      </w:pPr>
      <w:bookmarkStart w:id="37" w:name="_Toc234348752"/>
      <w:bookmarkStart w:id="38" w:name="_Toc234349326"/>
      <w:bookmarkStart w:id="39" w:name="_Toc234349334"/>
      <w:bookmarkStart w:id="40" w:name="_Toc234348760"/>
      <w:r>
        <w:rPr>
          <w:rFonts w:hint="eastAsia" w:ascii="宋体" w:hAnsi="宋体"/>
          <w:b/>
          <w:sz w:val="28"/>
          <w:szCs w:val="28"/>
        </w:rPr>
        <w:t>投标人须知前附表</w:t>
      </w:r>
      <w:bookmarkEnd w:id="37"/>
      <w:bookmarkEnd w:id="38"/>
    </w:p>
    <w:tbl>
      <w:tblPr>
        <w:tblStyle w:val="36"/>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2410"/>
        <w:gridCol w:w="63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993" w:type="dxa"/>
            <w:vAlign w:val="center"/>
          </w:tcPr>
          <w:p>
            <w:pPr>
              <w:adjustRightInd w:val="0"/>
              <w:snapToGrid w:val="0"/>
              <w:spacing w:line="300" w:lineRule="auto"/>
              <w:jc w:val="center"/>
              <w:rPr>
                <w:rFonts w:ascii="宋体"/>
                <w:b/>
                <w:szCs w:val="21"/>
              </w:rPr>
            </w:pPr>
            <w:r>
              <w:rPr>
                <w:rFonts w:hint="eastAsia" w:ascii="宋体" w:hAnsi="宋体"/>
                <w:b/>
                <w:szCs w:val="21"/>
              </w:rPr>
              <w:t>条款号</w:t>
            </w:r>
          </w:p>
        </w:tc>
        <w:tc>
          <w:tcPr>
            <w:tcW w:w="2410" w:type="dxa"/>
            <w:vAlign w:val="center"/>
          </w:tcPr>
          <w:p>
            <w:pPr>
              <w:adjustRightInd w:val="0"/>
              <w:snapToGrid w:val="0"/>
              <w:spacing w:line="300" w:lineRule="auto"/>
              <w:ind w:right="-107" w:rightChars="-51"/>
              <w:jc w:val="center"/>
              <w:rPr>
                <w:rFonts w:ascii="宋体"/>
                <w:b/>
                <w:szCs w:val="21"/>
              </w:rPr>
            </w:pPr>
            <w:r>
              <w:rPr>
                <w:rFonts w:hint="eastAsia" w:ascii="宋体" w:hAnsi="宋体"/>
                <w:b/>
                <w:szCs w:val="21"/>
              </w:rPr>
              <w:t>条款名称</w:t>
            </w:r>
          </w:p>
        </w:tc>
        <w:tc>
          <w:tcPr>
            <w:tcW w:w="6379" w:type="dxa"/>
            <w:vAlign w:val="center"/>
          </w:tcPr>
          <w:p>
            <w:pPr>
              <w:adjustRightInd w:val="0"/>
              <w:snapToGrid w:val="0"/>
              <w:spacing w:line="300" w:lineRule="auto"/>
              <w:ind w:right="482"/>
              <w:jc w:val="center"/>
              <w:rPr>
                <w:rFonts w:ascii="宋体"/>
                <w:b/>
                <w:szCs w:val="21"/>
              </w:rPr>
            </w:pPr>
            <w:r>
              <w:rPr>
                <w:rFonts w:hint="eastAsia" w:ascii="宋体" w:hAnsi="宋体"/>
                <w:b/>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u w:val="single"/>
              </w:rPr>
            </w:pPr>
            <w:r>
              <w:rPr>
                <w:rFonts w:ascii="宋体" w:hAnsi="宋体" w:cs="宋体"/>
                <w:kern w:val="0"/>
                <w:szCs w:val="21"/>
                <w:u w:val="single"/>
              </w:rPr>
              <w:t>2</w:t>
            </w:r>
            <w:r>
              <w:rPr>
                <w:rFonts w:ascii="宋体" w:cs="宋体"/>
                <w:kern w:val="0"/>
                <w:szCs w:val="21"/>
                <w:u w:val="single"/>
              </w:rPr>
              <w:t>.</w:t>
            </w:r>
            <w:r>
              <w:rPr>
                <w:rFonts w:ascii="宋体" w:hAnsi="宋体" w:cs="宋体"/>
                <w:kern w:val="0"/>
                <w:szCs w:val="21"/>
                <w:u w:val="single"/>
              </w:rPr>
              <w:t>2</w:t>
            </w:r>
            <w:r>
              <w:rPr>
                <w:rFonts w:ascii="宋体" w:cs="宋体"/>
                <w:kern w:val="0"/>
                <w:szCs w:val="21"/>
                <w:u w:val="single"/>
              </w:rPr>
              <w:t>.</w:t>
            </w:r>
            <w:r>
              <w:rPr>
                <w:rFonts w:ascii="宋体" w:hAnsi="宋体" w:cs="宋体"/>
                <w:kern w:val="0"/>
                <w:szCs w:val="21"/>
                <w:u w:val="single"/>
              </w:rPr>
              <w:t>1</w:t>
            </w:r>
          </w:p>
        </w:tc>
        <w:tc>
          <w:tcPr>
            <w:tcW w:w="2410" w:type="dxa"/>
            <w:vAlign w:val="center"/>
          </w:tcPr>
          <w:p>
            <w:pPr>
              <w:adjustRightInd w:val="0"/>
              <w:snapToGrid w:val="0"/>
              <w:spacing w:line="300" w:lineRule="auto"/>
              <w:ind w:right="-107" w:rightChars="-51"/>
              <w:jc w:val="center"/>
              <w:rPr>
                <w:rFonts w:ascii="宋体" w:hAnsi="宋体" w:cs="宋体"/>
                <w:kern w:val="0"/>
                <w:szCs w:val="21"/>
                <w:highlight w:val="yellow"/>
              </w:rPr>
            </w:pPr>
            <w:r>
              <w:rPr>
                <w:rFonts w:hint="eastAsia" w:ascii="宋体" w:hAnsi="宋体" w:cs="宋体"/>
                <w:kern w:val="0"/>
                <w:szCs w:val="21"/>
                <w:highlight w:val="yellow"/>
              </w:rPr>
              <w:t>投标人要求澄清</w:t>
            </w:r>
          </w:p>
          <w:p>
            <w:pPr>
              <w:adjustRightInd w:val="0"/>
              <w:snapToGrid w:val="0"/>
              <w:spacing w:line="300" w:lineRule="auto"/>
              <w:ind w:right="-107" w:rightChars="-51"/>
              <w:jc w:val="center"/>
              <w:rPr>
                <w:rFonts w:ascii="宋体" w:cs="宋体"/>
                <w:szCs w:val="21"/>
                <w:highlight w:val="yellow"/>
              </w:rPr>
            </w:pPr>
            <w:r>
              <w:rPr>
                <w:rFonts w:hint="eastAsia" w:ascii="宋体" w:hAnsi="宋体" w:cs="宋体"/>
                <w:kern w:val="0"/>
                <w:szCs w:val="21"/>
                <w:highlight w:val="yellow"/>
              </w:rPr>
              <w:t>招标文件</w:t>
            </w:r>
          </w:p>
        </w:tc>
        <w:tc>
          <w:tcPr>
            <w:tcW w:w="6379" w:type="dxa"/>
            <w:vAlign w:val="center"/>
          </w:tcPr>
          <w:p>
            <w:pPr>
              <w:adjustRightInd w:val="0"/>
              <w:snapToGrid w:val="0"/>
              <w:spacing w:line="300" w:lineRule="auto"/>
              <w:ind w:leftChars="-2" w:hanging="4" w:hangingChars="2"/>
              <w:rPr>
                <w:rFonts w:ascii="宋体" w:hAnsi="宋体" w:cs="宋体"/>
                <w:kern w:val="0"/>
                <w:highlight w:val="yellow"/>
              </w:rPr>
            </w:pPr>
            <w:r>
              <w:rPr>
                <w:rFonts w:hint="eastAsia" w:ascii="宋体" w:hAnsi="宋体" w:cs="宋体"/>
                <w:kern w:val="0"/>
                <w:highlight w:val="yellow"/>
              </w:rPr>
              <w:t>投标人应仔细阅读和检查招标文件的全部内容。如有疑问，应在本项目递交投标文件截止之日10天前，通过本项目招标公告页面“投标人疑问/异议”栏目的“提出疑问/异议”功能要求招标人对招标文件进行澄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u w:val="single"/>
              </w:rPr>
            </w:pPr>
            <w:r>
              <w:rPr>
                <w:rFonts w:ascii="宋体" w:hAnsi="宋体" w:cs="宋体"/>
                <w:kern w:val="0"/>
                <w:u w:val="single"/>
              </w:rPr>
              <w:t>2</w:t>
            </w:r>
            <w:r>
              <w:rPr>
                <w:rFonts w:ascii="宋体" w:cs="宋体"/>
                <w:kern w:val="0"/>
                <w:u w:val="single"/>
              </w:rPr>
              <w:t>.</w:t>
            </w:r>
            <w:r>
              <w:rPr>
                <w:rFonts w:ascii="宋体" w:hAnsi="宋体" w:cs="宋体"/>
                <w:kern w:val="0"/>
                <w:u w:val="single"/>
              </w:rPr>
              <w:t>2</w:t>
            </w:r>
            <w:r>
              <w:rPr>
                <w:rFonts w:ascii="宋体" w:cs="宋体"/>
                <w:kern w:val="0"/>
                <w:u w:val="single"/>
              </w:rPr>
              <w:t>.</w:t>
            </w:r>
            <w:r>
              <w:rPr>
                <w:rFonts w:ascii="宋体" w:hAnsi="宋体" w:cs="宋体"/>
                <w:kern w:val="0"/>
                <w:u w:val="single"/>
              </w:rPr>
              <w:t>2</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招标文件澄清发出的</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形式</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招标文件的澄清将通过本项目招标公告页面“招标文件的澄清和修改”栏目进行网上通知，投标人应密切关注本项目公告页面的最新修改信息。澄清的内容可能影响投标文件编制的，招标人将在投标截止时间至少15天前，通过本项目公告页面“开标时间”栏目进行网上通知。如果澄清发出的时间距投标截止时间不足15天，相应延长投标截止时间。</w:t>
            </w:r>
          </w:p>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当招标文件的澄清等在同一内容的表述不一致时，以最后发出的为准。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u w:val="single"/>
              </w:rPr>
            </w:pPr>
            <w:r>
              <w:rPr>
                <w:rFonts w:ascii="宋体" w:hAnsi="宋体" w:cs="宋体"/>
                <w:kern w:val="0"/>
                <w:u w:val="single"/>
              </w:rPr>
              <w:t>2</w:t>
            </w:r>
            <w:r>
              <w:rPr>
                <w:rFonts w:ascii="宋体" w:cs="宋体"/>
                <w:kern w:val="0"/>
                <w:u w:val="single"/>
              </w:rPr>
              <w:t>.</w:t>
            </w:r>
            <w:r>
              <w:rPr>
                <w:rFonts w:ascii="宋体" w:hAnsi="宋体" w:cs="宋体"/>
                <w:kern w:val="0"/>
                <w:u w:val="single"/>
              </w:rPr>
              <w:t>2</w:t>
            </w:r>
            <w:r>
              <w:rPr>
                <w:rFonts w:ascii="宋体" w:cs="宋体"/>
                <w:kern w:val="0"/>
                <w:u w:val="single"/>
              </w:rPr>
              <w:t>.</w:t>
            </w:r>
            <w:r>
              <w:rPr>
                <w:rFonts w:ascii="宋体" w:hAnsi="宋体" w:cs="宋体"/>
                <w:kern w:val="0"/>
                <w:u w:val="single"/>
              </w:rPr>
              <w:t>3</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投标人确认收到</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招标文件澄清</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投标人应密切关注全国公共资源交易平台(山东省青岛市)青岛市公共资源交易电子服务系统本项目公告页面的最新信息。信息一经公布，视为所有潜在投标人已经收到。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kern w:val="0"/>
                <w:u w:val="single"/>
              </w:rPr>
            </w:pPr>
            <w:r>
              <w:rPr>
                <w:rFonts w:ascii="宋体" w:hAnsi="宋体" w:cs="宋体"/>
                <w:kern w:val="0"/>
                <w:u w:val="single"/>
              </w:rPr>
              <w:t>2</w:t>
            </w:r>
            <w:r>
              <w:rPr>
                <w:rFonts w:ascii="宋体" w:cs="宋体"/>
                <w:kern w:val="0"/>
                <w:u w:val="single"/>
              </w:rPr>
              <w:t>.</w:t>
            </w:r>
            <w:r>
              <w:rPr>
                <w:rFonts w:ascii="宋体" w:hAnsi="宋体" w:cs="宋体"/>
                <w:kern w:val="0"/>
                <w:u w:val="single"/>
              </w:rPr>
              <w:t>3.1</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招标文件修改发出的</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形式</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在投标截止时间前，招标人可以对已发出的招标文件通过本项目招标公告页面“招标文件的澄清和修改”栏目进行网上的修改，投标人应密切关注本项目公告页面的最新修改信息。修改的内容可能影响投标文件编制的，招标人将在投标截止时间至少15天前，通过本项目公告页面“开标时间”栏目进行网上通知。如果修改招标文件的时间距投标截止时间不足15天，相应延长投标截止时间。</w:t>
            </w:r>
          </w:p>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当招标文件的修改、补充等在同一内容的表述不一致时，以最后发出的为准。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u w:val="single"/>
              </w:rPr>
            </w:pPr>
            <w:r>
              <w:rPr>
                <w:rFonts w:ascii="宋体" w:hAnsi="宋体" w:cs="宋体"/>
                <w:kern w:val="0"/>
                <w:u w:val="single"/>
              </w:rPr>
              <w:t>2</w:t>
            </w:r>
            <w:r>
              <w:rPr>
                <w:rFonts w:ascii="宋体" w:cs="宋体"/>
                <w:kern w:val="0"/>
                <w:u w:val="single"/>
              </w:rPr>
              <w:t>.</w:t>
            </w:r>
            <w:r>
              <w:rPr>
                <w:rFonts w:ascii="宋体" w:hAnsi="宋体" w:cs="宋体"/>
                <w:kern w:val="0"/>
                <w:u w:val="single"/>
              </w:rPr>
              <w:t>3</w:t>
            </w:r>
            <w:r>
              <w:rPr>
                <w:rFonts w:ascii="宋体" w:cs="宋体"/>
                <w:kern w:val="0"/>
                <w:u w:val="single"/>
              </w:rPr>
              <w:t>.</w:t>
            </w:r>
            <w:r>
              <w:rPr>
                <w:rFonts w:ascii="宋体" w:hAnsi="宋体" w:cs="宋体"/>
                <w:kern w:val="0"/>
                <w:u w:val="single"/>
              </w:rPr>
              <w:t>2</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投标人确认收到</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招标文件修改</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投标人应密切关注全国公共资源交易平台(山东省青岛市)青岛市公共资源交易电子服务系统本项目公告页面的最新信息。信息一经公布，视为所有潜在投标人已经收到。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u w:val="single"/>
              </w:rPr>
            </w:pPr>
            <w:r>
              <w:rPr>
                <w:rFonts w:hint="eastAsia" w:ascii="宋体" w:hAnsi="宋体" w:cs="宋体"/>
                <w:kern w:val="0"/>
                <w:u w:val="single"/>
              </w:rPr>
              <w:t>2.4</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招标文件的异议</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 xml:space="preserve">投标人或其他利害关系人对招标文件有异议的，应在投标截止时间 </w:t>
            </w:r>
            <w:r>
              <w:rPr>
                <w:rFonts w:ascii="宋体" w:hAnsi="宋体" w:cs="宋体"/>
                <w:highlight w:val="yellow"/>
              </w:rPr>
              <w:t xml:space="preserve">10 </w:t>
            </w:r>
            <w:r>
              <w:rPr>
                <w:rFonts w:hint="eastAsia" w:ascii="宋体" w:hAnsi="宋体" w:cs="宋体"/>
                <w:highlight w:val="yellow"/>
              </w:rPr>
              <w:t xml:space="preserve">日前以书面形式提出。招标人将在收到异议之日起 </w:t>
            </w:r>
            <w:r>
              <w:rPr>
                <w:rFonts w:ascii="宋体" w:hAnsi="宋体" w:cs="宋体"/>
                <w:highlight w:val="yellow"/>
              </w:rPr>
              <w:t xml:space="preserve">3 </w:t>
            </w:r>
            <w:r>
              <w:rPr>
                <w:rFonts w:hint="eastAsia" w:ascii="宋体" w:hAnsi="宋体" w:cs="宋体"/>
                <w:highlight w:val="yellow"/>
              </w:rPr>
              <w:t>日内作出答复；作出答复前，将暂停招 标投标活动。提出异议与作出答复均应通过</w:t>
            </w:r>
            <w:r>
              <w:rPr>
                <w:rFonts w:hint="eastAsia" w:ascii="宋体" w:hAnsi="宋体" w:cs="宋体"/>
                <w:kern w:val="0"/>
                <w:highlight w:val="yellow"/>
              </w:rPr>
              <w:t>本项目招标公告页面“投标人疑问/异议”栏目的“提出疑问/异议”</w:t>
            </w:r>
            <w:r>
              <w:rPr>
                <w:rFonts w:hint="eastAsia" w:ascii="宋体" w:hAnsi="宋体" w:cs="宋体"/>
                <w:highlight w:val="yellow"/>
              </w:rPr>
              <w:t>菜单以书面形式完成。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u w:val="single"/>
              </w:rPr>
            </w:pPr>
            <w:r>
              <w:rPr>
                <w:rFonts w:ascii="宋体" w:hAnsi="宋体" w:cs="宋体"/>
                <w:szCs w:val="21"/>
                <w:highlight w:val="none"/>
                <w:u w:val="single"/>
              </w:rPr>
              <w:t>3.4.1</w:t>
            </w:r>
          </w:p>
        </w:tc>
        <w:tc>
          <w:tcPr>
            <w:tcW w:w="2410" w:type="dxa"/>
            <w:vAlign w:val="center"/>
          </w:tcPr>
          <w:p>
            <w:pPr>
              <w:adjustRightInd w:val="0"/>
              <w:snapToGrid w:val="0"/>
              <w:spacing w:line="300" w:lineRule="auto"/>
              <w:ind w:right="-107" w:rightChars="-51"/>
              <w:jc w:val="center"/>
              <w:rPr>
                <w:rFonts w:ascii="宋体" w:cs="宋体"/>
                <w:color w:val="auto"/>
                <w:szCs w:val="21"/>
                <w:highlight w:val="yellow"/>
              </w:rPr>
            </w:pPr>
            <w:r>
              <w:rPr>
                <w:rFonts w:hint="eastAsia" w:ascii="宋体" w:hAnsi="宋体" w:cs="宋体"/>
                <w:color w:val="auto"/>
                <w:szCs w:val="21"/>
                <w:highlight w:val="yellow"/>
              </w:rPr>
              <w:t>投标保证金</w:t>
            </w:r>
          </w:p>
        </w:tc>
        <w:tc>
          <w:tcPr>
            <w:tcW w:w="6379" w:type="dxa"/>
            <w:vAlign w:val="center"/>
          </w:tcPr>
          <w:p>
            <w:pPr>
              <w:adjustRightInd w:val="0"/>
              <w:snapToGrid w:val="0"/>
              <w:spacing w:line="300" w:lineRule="auto"/>
              <w:ind w:firstLine="12" w:firstLineChars="6"/>
              <w:rPr>
                <w:rFonts w:ascii="宋体" w:hAnsi="宋体"/>
                <w:color w:val="auto"/>
                <w:szCs w:val="21"/>
                <w:highlight w:val="yellow"/>
              </w:rPr>
            </w:pPr>
            <w:r>
              <w:rPr>
                <w:rFonts w:hint="eastAsia" w:ascii="宋体" w:hAnsi="宋体"/>
                <w:color w:val="auto"/>
                <w:szCs w:val="21"/>
                <w:highlight w:val="yellow"/>
              </w:rPr>
              <w:t>修改为：</w:t>
            </w:r>
          </w:p>
          <w:p>
            <w:pPr>
              <w:adjustRightInd w:val="0"/>
              <w:snapToGrid w:val="0"/>
              <w:spacing w:line="300" w:lineRule="auto"/>
              <w:ind w:firstLine="12" w:firstLineChars="6"/>
              <w:rPr>
                <w:rFonts w:ascii="宋体" w:hAnsi="宋体"/>
                <w:color w:val="auto"/>
                <w:szCs w:val="21"/>
                <w:highlight w:val="yellow"/>
              </w:rPr>
            </w:pPr>
            <w:r>
              <w:rPr>
                <w:rFonts w:hint="eastAsia" w:ascii="宋体" w:hAnsi="宋体"/>
                <w:color w:val="auto"/>
                <w:szCs w:val="21"/>
                <w:highlight w:val="yellow"/>
              </w:rPr>
              <w:t>是否要求投标人递交投标保证金：</w:t>
            </w:r>
          </w:p>
          <w:p>
            <w:pPr>
              <w:autoSpaceDN w:val="0"/>
              <w:adjustRightInd w:val="0"/>
              <w:snapToGrid w:val="0"/>
              <w:spacing w:line="320" w:lineRule="exact"/>
              <w:textAlignment w:val="top"/>
              <w:rPr>
                <w:snapToGrid w:val="0"/>
                <w:color w:val="auto"/>
                <w:kern w:val="0"/>
                <w:highlight w:val="yellow"/>
              </w:rPr>
            </w:pPr>
            <w:bookmarkStart w:id="41" w:name="cr__506404115_"/>
            <w:r>
              <w:rPr>
                <w:rFonts w:hint="eastAsia"/>
                <w:snapToGrid w:val="0"/>
                <w:color w:val="auto"/>
                <w:kern w:val="0"/>
                <w:highlight w:val="yellow"/>
                <w:lang w:eastAsia="zh-CN"/>
              </w:rPr>
              <w:t>□</w:t>
            </w:r>
            <w:r>
              <w:rPr>
                <w:rFonts w:hint="eastAsia"/>
                <w:snapToGrid w:val="0"/>
                <w:color w:val="auto"/>
                <w:kern w:val="0"/>
                <w:highlight w:val="yellow"/>
              </w:rPr>
              <w:t>不需要交纳</w:t>
            </w:r>
          </w:p>
          <w:p>
            <w:pPr>
              <w:autoSpaceDN w:val="0"/>
              <w:adjustRightInd w:val="0"/>
              <w:snapToGrid w:val="0"/>
              <w:spacing w:line="320" w:lineRule="exact"/>
              <w:textAlignment w:val="top"/>
              <w:rPr>
                <w:rFonts w:hint="eastAsia" w:eastAsia="宋体"/>
                <w:snapToGrid w:val="0"/>
                <w:color w:val="auto"/>
                <w:kern w:val="0"/>
                <w:highlight w:val="yellow"/>
                <w:lang w:val="en-US" w:eastAsia="zh-CN"/>
              </w:rPr>
            </w:pPr>
            <w:r>
              <w:rPr>
                <w:rFonts w:hint="eastAsia"/>
                <w:snapToGrid w:val="0"/>
                <w:color w:val="auto"/>
                <w:kern w:val="0"/>
                <w:highlight w:val="yellow"/>
                <w:lang w:eastAsia="zh-CN"/>
              </w:rPr>
              <w:t>□</w:t>
            </w:r>
            <w:r>
              <w:rPr>
                <w:rFonts w:hint="eastAsia"/>
                <w:snapToGrid w:val="0"/>
                <w:color w:val="auto"/>
                <w:kern w:val="0"/>
                <w:highlight w:val="yellow"/>
              </w:rPr>
              <w:t>需要交纳</w:t>
            </w:r>
            <w:r>
              <w:rPr>
                <w:rFonts w:hint="eastAsia"/>
                <w:snapToGrid w:val="0"/>
                <w:color w:val="auto"/>
                <w:kern w:val="0"/>
                <w:highlight w:val="yellow"/>
                <w:lang w:eastAsia="zh-CN"/>
              </w:rPr>
              <w:t>（</w:t>
            </w:r>
            <w:r>
              <w:rPr>
                <w:rFonts w:hint="eastAsia"/>
                <w:snapToGrid w:val="0"/>
                <w:color w:val="auto"/>
                <w:kern w:val="0"/>
                <w:highlight w:val="yellow"/>
                <w:lang w:val="en-US" w:eastAsia="zh-CN"/>
              </w:rPr>
              <w:t>无差异化</w:t>
            </w:r>
            <w:r>
              <w:rPr>
                <w:rFonts w:hint="eastAsia"/>
                <w:snapToGrid w:val="0"/>
                <w:color w:val="auto"/>
                <w:kern w:val="0"/>
                <w:highlight w:val="yellow"/>
                <w:lang w:eastAsia="zh-CN"/>
              </w:rPr>
              <w:t>）</w:t>
            </w:r>
          </w:p>
          <w:p>
            <w:pPr>
              <w:autoSpaceDN w:val="0"/>
              <w:adjustRightInd w:val="0"/>
              <w:snapToGrid w:val="0"/>
              <w:spacing w:line="320" w:lineRule="exact"/>
              <w:textAlignment w:val="top"/>
              <w:rPr>
                <w:rFonts w:hint="eastAsia"/>
                <w:snapToGrid w:val="0"/>
                <w:color w:val="auto"/>
                <w:kern w:val="0"/>
                <w:highlight w:val="yellow"/>
                <w:lang w:eastAsia="zh-CN"/>
              </w:rPr>
            </w:pPr>
            <w:r>
              <w:rPr>
                <w:rFonts w:hint="eastAsia"/>
                <w:snapToGrid w:val="0"/>
                <w:color w:val="auto"/>
                <w:kern w:val="0"/>
                <w:highlight w:val="yellow"/>
                <w:lang w:eastAsia="zh-CN"/>
              </w:rPr>
              <w:t>□差异化减免投标保证金</w:t>
            </w:r>
          </w:p>
          <w:p>
            <w:pPr>
              <w:autoSpaceDN w:val="0"/>
              <w:adjustRightInd w:val="0"/>
              <w:snapToGrid w:val="0"/>
              <w:spacing w:line="320" w:lineRule="exact"/>
              <w:textAlignment w:val="top"/>
              <w:rPr>
                <w:rFonts w:hint="eastAsia"/>
                <w:snapToGrid w:val="0"/>
                <w:color w:val="auto"/>
                <w:kern w:val="0"/>
                <w:highlight w:val="yellow"/>
              </w:rPr>
            </w:pPr>
            <w:r>
              <w:rPr>
                <w:rFonts w:hint="eastAsia"/>
                <w:snapToGrid w:val="0"/>
                <w:color w:val="auto"/>
                <w:kern w:val="0"/>
                <w:highlight w:val="yellow"/>
                <w:lang w:eastAsia="zh-CN"/>
              </w:rPr>
              <w:t>根据青审服字</w:t>
            </w:r>
            <w:r>
              <w:rPr>
                <w:rFonts w:hint="eastAsia"/>
                <w:snapToGrid w:val="0"/>
                <w:color w:val="auto"/>
                <w:kern w:val="0"/>
                <w:highlight w:val="yellow"/>
                <w:lang w:val="en-US" w:eastAsia="zh-CN"/>
              </w:rPr>
              <w:t>[2023]61号文件，本项目差异化减免投标保证金：(</w:t>
            </w:r>
            <w:r>
              <w:rPr>
                <w:rFonts w:hint="eastAsia"/>
                <w:snapToGrid w:val="0"/>
                <w:color w:val="auto"/>
                <w:kern w:val="0"/>
                <w:highlight w:val="yellow"/>
                <w:u w:val="single"/>
                <w:lang w:val="en-US" w:eastAsia="zh-CN"/>
              </w:rPr>
              <w:t xml:space="preserve">相关要求,如行业具体要求、附承诺书及相关证明文件等)                                   </w:t>
            </w:r>
          </w:p>
          <w:bookmarkEnd w:id="41"/>
          <w:p>
            <w:pPr>
              <w:numPr>
                <w:ilvl w:val="0"/>
                <w:numId w:val="1"/>
              </w:numPr>
              <w:autoSpaceDN w:val="0"/>
              <w:adjustRightInd w:val="0"/>
              <w:snapToGrid w:val="0"/>
              <w:spacing w:line="320" w:lineRule="exact"/>
              <w:textAlignment w:val="top"/>
              <w:rPr>
                <w:rFonts w:hint="eastAsia"/>
                <w:snapToGrid w:val="0"/>
                <w:color w:val="auto"/>
                <w:kern w:val="0"/>
                <w:highlight w:val="yellow"/>
              </w:rPr>
            </w:pPr>
            <w:r>
              <w:rPr>
                <w:rFonts w:hint="eastAsia"/>
                <w:snapToGrid w:val="0"/>
                <w:color w:val="auto"/>
                <w:kern w:val="0"/>
                <w:highlight w:val="yellow"/>
                <w:lang w:eastAsia="zh-CN"/>
              </w:rPr>
              <w:t>未减免</w:t>
            </w:r>
            <w:r>
              <w:rPr>
                <w:rFonts w:hint="eastAsia"/>
                <w:snapToGrid w:val="0"/>
                <w:color w:val="auto"/>
                <w:kern w:val="0"/>
                <w:highlight w:val="yellow"/>
              </w:rPr>
              <w:t>金额：人民币</w:t>
            </w:r>
            <w:bookmarkStart w:id="42" w:name="Var_costbzj_upper"/>
            <w:bookmarkEnd w:id="42"/>
            <w:r>
              <w:rPr>
                <w:rFonts w:hint="eastAsia"/>
                <w:snapToGrid w:val="0"/>
                <w:color w:val="auto"/>
                <w:kern w:val="0"/>
                <w:highlight w:val="yellow"/>
                <w:lang w:val="en-US" w:eastAsia="zh-CN"/>
              </w:rPr>
              <w:t xml:space="preserve">     </w:t>
            </w:r>
            <w:r>
              <w:rPr>
                <w:rFonts w:hint="eastAsia"/>
                <w:snapToGrid w:val="0"/>
                <w:color w:val="auto"/>
                <w:kern w:val="0"/>
                <w:highlight w:val="yellow"/>
              </w:rPr>
              <w:t>（</w:t>
            </w:r>
            <w:r>
              <w:rPr>
                <w:rFonts w:hint="eastAsia"/>
                <w:snapToGrid w:val="0"/>
                <w:color w:val="auto"/>
                <w:kern w:val="0"/>
                <w:highlight w:val="yellow"/>
                <w:lang w:val="en-US" w:eastAsia="zh-CN"/>
              </w:rPr>
              <w:t xml:space="preserve">    </w:t>
            </w:r>
            <w:r>
              <w:rPr>
                <w:rFonts w:hint="eastAsia"/>
                <w:snapToGrid w:val="0"/>
                <w:color w:val="auto"/>
                <w:kern w:val="0"/>
                <w:highlight w:val="yellow"/>
              </w:rPr>
              <w:t>￥</w:t>
            </w:r>
            <w:bookmarkStart w:id="43" w:name="v__CostBzj_"/>
            <w:bookmarkEnd w:id="43"/>
            <w:r>
              <w:rPr>
                <w:rFonts w:hint="eastAsia"/>
                <w:snapToGrid w:val="0"/>
                <w:color w:val="auto"/>
                <w:kern w:val="0"/>
                <w:highlight w:val="yellow"/>
              </w:rPr>
              <w:t>元）</w:t>
            </w:r>
          </w:p>
          <w:p>
            <w:pPr>
              <w:numPr>
                <w:ilvl w:val="0"/>
                <w:numId w:val="0"/>
              </w:numPr>
              <w:autoSpaceDN w:val="0"/>
              <w:adjustRightInd w:val="0"/>
              <w:snapToGrid w:val="0"/>
              <w:spacing w:line="320" w:lineRule="exact"/>
              <w:textAlignment w:val="top"/>
              <w:rPr>
                <w:rFonts w:hint="default" w:eastAsia="宋体"/>
                <w:snapToGrid w:val="0"/>
                <w:color w:val="auto"/>
                <w:kern w:val="0"/>
                <w:highlight w:val="yellow"/>
                <w:lang w:val="en-US" w:eastAsia="zh-CN"/>
              </w:rPr>
            </w:pPr>
            <w:r>
              <w:rPr>
                <w:rFonts w:hint="eastAsia"/>
                <w:snapToGrid w:val="0"/>
                <w:color w:val="auto"/>
                <w:kern w:val="0"/>
                <w:highlight w:val="yellow"/>
                <w:lang w:val="en-US" w:eastAsia="zh-CN"/>
              </w:rPr>
              <w:t xml:space="preserve">   减免后金额：人民币     </w:t>
            </w:r>
            <w:r>
              <w:rPr>
                <w:rFonts w:hint="eastAsia"/>
                <w:snapToGrid w:val="0"/>
                <w:color w:val="auto"/>
                <w:kern w:val="0"/>
                <w:highlight w:val="yellow"/>
              </w:rPr>
              <w:t>（</w:t>
            </w:r>
            <w:r>
              <w:rPr>
                <w:rFonts w:hint="eastAsia"/>
                <w:snapToGrid w:val="0"/>
                <w:color w:val="auto"/>
                <w:kern w:val="0"/>
                <w:highlight w:val="yellow"/>
                <w:lang w:val="en-US" w:eastAsia="zh-CN"/>
              </w:rPr>
              <w:t xml:space="preserve">    </w:t>
            </w:r>
            <w:r>
              <w:rPr>
                <w:rFonts w:hint="eastAsia"/>
                <w:snapToGrid w:val="0"/>
                <w:color w:val="auto"/>
                <w:kern w:val="0"/>
                <w:highlight w:val="yellow"/>
              </w:rPr>
              <w:t>￥元）</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2.</w:t>
            </w:r>
            <w:r>
              <w:rPr>
                <w:rFonts w:hint="eastAsia"/>
                <w:snapToGrid w:val="0"/>
                <w:color w:val="auto"/>
                <w:kern w:val="0"/>
                <w:highlight w:val="yellow"/>
              </w:rPr>
              <w:t>交纳</w:t>
            </w:r>
            <w:r>
              <w:rPr>
                <w:snapToGrid w:val="0"/>
                <w:color w:val="auto"/>
                <w:kern w:val="0"/>
                <w:highlight w:val="yellow"/>
              </w:rPr>
              <w:t>截止时间，同投标截止时间。</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3.投标保证金的交纳单位必须与投标人名称一致；</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4.交纳形式：（电汇或银行保函</w:t>
            </w:r>
            <w:r>
              <w:rPr>
                <w:rFonts w:hint="eastAsia"/>
                <w:snapToGrid w:val="0"/>
                <w:color w:val="auto"/>
                <w:kern w:val="0"/>
                <w:highlight w:val="yellow"/>
              </w:rPr>
              <w:t>、保险保函、电子保函</w:t>
            </w:r>
            <w:r>
              <w:rPr>
                <w:snapToGrid w:val="0"/>
                <w:color w:val="auto"/>
                <w:kern w:val="0"/>
                <w:highlight w:val="yellow"/>
              </w:rPr>
              <w:t>）</w:t>
            </w:r>
          </w:p>
          <w:p>
            <w:pPr>
              <w:autoSpaceDE w:val="0"/>
              <w:autoSpaceDN w:val="0"/>
              <w:adjustRightInd w:val="0"/>
              <w:snapToGrid w:val="0"/>
              <w:spacing w:line="300" w:lineRule="auto"/>
              <w:ind w:firstLine="12" w:firstLineChars="6"/>
              <w:rPr>
                <w:snapToGrid w:val="0"/>
                <w:color w:val="auto"/>
                <w:kern w:val="0"/>
                <w:highlight w:val="yellow"/>
              </w:rPr>
            </w:pPr>
            <w:r>
              <w:rPr>
                <w:snapToGrid w:val="0"/>
                <w:color w:val="auto"/>
                <w:kern w:val="0"/>
                <w:highlight w:val="yellow"/>
              </w:rPr>
              <w:t>4.1以银行电汇形式交纳的投标保证金须从其基本账户转出，以到账时间为准</w:t>
            </w:r>
            <w:r>
              <w:rPr>
                <w:rFonts w:hint="eastAsia"/>
                <w:snapToGrid w:val="0"/>
                <w:color w:val="auto"/>
                <w:kern w:val="0"/>
                <w:highlight w:val="yellow"/>
              </w:rPr>
              <w:t>，</w:t>
            </w:r>
            <w:r>
              <w:rPr>
                <w:rFonts w:hint="eastAsia" w:ascii="宋体" w:hAnsi="宋体"/>
                <w:color w:val="auto"/>
                <w:szCs w:val="21"/>
                <w:highlight w:val="yellow"/>
              </w:rPr>
              <w:t>否则视为投标保证金无效</w:t>
            </w:r>
            <w:r>
              <w:rPr>
                <w:snapToGrid w:val="0"/>
                <w:color w:val="auto"/>
                <w:kern w:val="0"/>
                <w:highlight w:val="yellow"/>
              </w:rPr>
              <w:t>；保证金缴纳账户信息请登录全国公共资源交易平台（山东省 青岛市）青岛市公共资源交易电子服务系统（http://ggzy.qingdao.gov.cn）本项目招标公告页面点击“获取虚拟账号”。</w:t>
            </w:r>
            <w:r>
              <w:rPr>
                <w:rFonts w:hint="eastAsia"/>
                <w:snapToGrid w:val="0"/>
                <w:color w:val="FF0000"/>
                <w:kern w:val="0"/>
                <w:highlight w:val="none"/>
                <w:lang w:eastAsia="zh-CN"/>
              </w:rPr>
              <w:t>投标文件中应附缴纳凭证彩色复印件和基本账户开户许可证（或基本账户信息）彩色复印件。</w:t>
            </w:r>
          </w:p>
          <w:p>
            <w:pPr>
              <w:adjustRightInd w:val="0"/>
              <w:snapToGrid w:val="0"/>
              <w:spacing w:line="300" w:lineRule="auto"/>
              <w:ind w:firstLine="12" w:firstLineChars="6"/>
              <w:rPr>
                <w:rFonts w:hint="eastAsia" w:eastAsia="宋体"/>
                <w:snapToGrid w:val="0"/>
                <w:color w:val="auto"/>
                <w:kern w:val="0"/>
                <w:highlight w:val="yellow"/>
                <w:lang w:eastAsia="zh-CN"/>
              </w:rPr>
            </w:pPr>
            <w:r>
              <w:rPr>
                <w:snapToGrid w:val="0"/>
                <w:color w:val="auto"/>
                <w:kern w:val="0"/>
                <w:highlight w:val="yellow"/>
              </w:rPr>
              <w:t>4.2以</w:t>
            </w:r>
            <w:r>
              <w:rPr>
                <w:rFonts w:hint="eastAsia"/>
                <w:snapToGrid w:val="0"/>
                <w:color w:val="0000FF"/>
                <w:kern w:val="0"/>
                <w:highlight w:val="yellow"/>
                <w:lang w:eastAsia="zh-CN"/>
              </w:rPr>
              <w:t>纸质</w:t>
            </w:r>
            <w:r>
              <w:rPr>
                <w:snapToGrid w:val="0"/>
                <w:color w:val="auto"/>
                <w:kern w:val="0"/>
                <w:highlight w:val="yellow"/>
              </w:rPr>
              <w:t>银行保函形式提交的，须在投标截止时间前，开标现场提交</w:t>
            </w:r>
            <w:r>
              <w:rPr>
                <w:rFonts w:hint="eastAsia"/>
                <w:snapToGrid w:val="0"/>
                <w:color w:val="auto"/>
                <w:kern w:val="0"/>
                <w:highlight w:val="yellow"/>
                <w:lang w:eastAsia="zh-CN"/>
              </w:rPr>
              <w:t>。</w:t>
            </w:r>
            <w:r>
              <w:rPr>
                <w:rFonts w:hint="eastAsia"/>
                <w:snapToGrid w:val="0"/>
                <w:color w:val="FF0000"/>
                <w:kern w:val="0"/>
                <w:highlight w:val="none"/>
                <w:lang w:eastAsia="zh-CN"/>
              </w:rPr>
              <w:t>投标文件中应附银行保函彩色复印件和基本账户开户许可证（或基本账户信息）彩色复印件。</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银行保函格式详见</w:t>
            </w:r>
            <w:r>
              <w:rPr>
                <w:rFonts w:hint="eastAsia"/>
                <w:snapToGrid w:val="0"/>
                <w:color w:val="auto"/>
                <w:kern w:val="0"/>
                <w:highlight w:val="yellow"/>
                <w:lang w:eastAsia="zh-CN"/>
              </w:rPr>
              <w:t>投标文件格式</w:t>
            </w:r>
            <w:r>
              <w:rPr>
                <w:rFonts w:hint="eastAsia"/>
                <w:snapToGrid w:val="0"/>
                <w:color w:val="auto"/>
                <w:kern w:val="0"/>
                <w:highlight w:val="yellow"/>
              </w:rPr>
              <w:t>。</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出具担保的银行：基本账户开户银行。</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银行保函须经公证机关公证，并符合下列要求，否则视为无效公证：</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(1)担保人法定代表人或其委托代理人在担保中签名，不能使用印章、签名章或其他电子制版签名；</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(2)公证机关出具的公证书加盖钢印、单位章并盖有公证员签名章，钢印应清晰可辨；</w:t>
            </w:r>
          </w:p>
          <w:p>
            <w:pPr>
              <w:adjustRightInd w:val="0"/>
              <w:snapToGrid w:val="0"/>
              <w:spacing w:line="300" w:lineRule="auto"/>
              <w:ind w:firstLine="12" w:firstLineChars="6"/>
              <w:rPr>
                <w:snapToGrid w:val="0"/>
                <w:color w:val="auto"/>
                <w:kern w:val="0"/>
                <w:highlight w:val="yellow"/>
              </w:rPr>
            </w:pPr>
            <w:r>
              <w:rPr>
                <w:snapToGrid w:val="0"/>
                <w:color w:val="auto"/>
                <w:kern w:val="0"/>
                <w:highlight w:val="yellow"/>
              </w:rPr>
              <w:t>(3)公证书出具的日期与银行保函出具的日期同日或在其之后。</w:t>
            </w:r>
          </w:p>
          <w:p>
            <w:pPr>
              <w:keepNext w:val="0"/>
              <w:keepLines w:val="0"/>
              <w:widowControl/>
              <w:suppressLineNumbers w:val="0"/>
              <w:jc w:val="left"/>
              <w:rPr>
                <w:snapToGrid w:val="0"/>
                <w:color w:val="auto"/>
                <w:kern w:val="0"/>
                <w:highlight w:val="yellow"/>
              </w:rPr>
            </w:pPr>
            <w:r>
              <w:rPr>
                <w:snapToGrid w:val="0"/>
                <w:color w:val="auto"/>
                <w:kern w:val="0"/>
                <w:highlight w:val="yellow"/>
              </w:rPr>
              <w:t>4.3</w:t>
            </w:r>
            <w:r>
              <w:rPr>
                <w:rFonts w:hint="eastAsia"/>
                <w:snapToGrid w:val="0"/>
                <w:color w:val="auto"/>
                <w:kern w:val="0"/>
                <w:highlight w:val="yellow"/>
              </w:rPr>
              <w:t>以</w:t>
            </w:r>
            <w:r>
              <w:rPr>
                <w:rFonts w:hint="eastAsia"/>
                <w:snapToGrid w:val="0"/>
                <w:color w:val="0000FF"/>
                <w:kern w:val="0"/>
                <w:highlight w:val="yellow"/>
                <w:lang w:eastAsia="zh-CN"/>
              </w:rPr>
              <w:t>纸质</w:t>
            </w:r>
            <w:r>
              <w:rPr>
                <w:rFonts w:hint="eastAsia"/>
                <w:snapToGrid w:val="0"/>
                <w:color w:val="auto"/>
                <w:kern w:val="0"/>
                <w:highlight w:val="yellow"/>
              </w:rPr>
              <w:t>保险保函形式提交的，须在投标截止时间前，开标现场提交，且须符合鲁建建管字</w:t>
            </w:r>
            <w:r>
              <w:rPr>
                <w:rFonts w:hint="eastAsia" w:ascii="宋体" w:hAnsi="宋体"/>
                <w:snapToGrid w:val="0"/>
                <w:color w:val="auto"/>
                <w:kern w:val="0"/>
                <w:highlight w:val="yellow"/>
              </w:rPr>
              <w:t>〔</w:t>
            </w:r>
            <w:r>
              <w:rPr>
                <w:snapToGrid w:val="0"/>
                <w:color w:val="auto"/>
                <w:kern w:val="0"/>
                <w:highlight w:val="yellow"/>
              </w:rPr>
              <w:t>20</w:t>
            </w:r>
            <w:r>
              <w:rPr>
                <w:rFonts w:hint="eastAsia"/>
                <w:snapToGrid w:val="0"/>
                <w:color w:val="auto"/>
                <w:kern w:val="0"/>
                <w:highlight w:val="yellow"/>
                <w:lang w:val="en-US" w:eastAsia="zh-CN"/>
              </w:rPr>
              <w:t>21</w:t>
            </w:r>
            <w:r>
              <w:rPr>
                <w:rFonts w:hint="eastAsia" w:ascii="宋体" w:hAnsi="宋体"/>
                <w:snapToGrid w:val="0"/>
                <w:color w:val="auto"/>
                <w:kern w:val="0"/>
                <w:highlight w:val="yellow"/>
              </w:rPr>
              <w:t>〕</w:t>
            </w:r>
            <w:r>
              <w:rPr>
                <w:rFonts w:hint="eastAsia" w:ascii="宋体" w:hAnsi="宋体"/>
                <w:snapToGrid w:val="0"/>
                <w:color w:val="auto"/>
                <w:kern w:val="0"/>
                <w:highlight w:val="yellow"/>
                <w:lang w:val="en-US" w:eastAsia="zh-CN"/>
              </w:rPr>
              <w:t>8</w:t>
            </w:r>
            <w:r>
              <w:rPr>
                <w:rFonts w:hint="eastAsia"/>
                <w:snapToGrid w:val="0"/>
                <w:color w:val="auto"/>
                <w:kern w:val="0"/>
                <w:highlight w:val="yellow"/>
              </w:rPr>
              <w:t>号文件要求。</w:t>
            </w:r>
            <w:r>
              <w:rPr>
                <w:rFonts w:hint="eastAsia"/>
                <w:snapToGrid w:val="0"/>
                <w:color w:val="FF0000"/>
                <w:kern w:val="0"/>
                <w:highlight w:val="none"/>
                <w:lang w:eastAsia="zh-CN"/>
              </w:rPr>
              <w:t>投标文件中应附保险保函彩色复印件、</w:t>
            </w:r>
            <w:r>
              <w:rPr>
                <w:rFonts w:hint="eastAsia"/>
                <w:snapToGrid w:val="0"/>
                <w:color w:val="FF0000"/>
                <w:kern w:val="0"/>
                <w:highlight w:val="none"/>
                <w:lang w:val="en-US" w:eastAsia="zh-CN"/>
              </w:rPr>
              <w:t>保险费由单位基本账户缴纳凭证彩色复印件、</w:t>
            </w:r>
            <w:r>
              <w:rPr>
                <w:rFonts w:hint="eastAsia"/>
                <w:snapToGrid w:val="0"/>
                <w:color w:val="FF0000"/>
                <w:kern w:val="0"/>
                <w:highlight w:val="none"/>
                <w:lang w:eastAsia="zh-CN"/>
              </w:rPr>
              <w:t>基本账户开户许可证（或基本账户信息）彩色复印件。</w:t>
            </w:r>
          </w:p>
          <w:p>
            <w:pPr>
              <w:keepNext w:val="0"/>
              <w:keepLines w:val="0"/>
              <w:widowControl/>
              <w:suppressLineNumbers w:val="0"/>
              <w:jc w:val="left"/>
              <w:rPr>
                <w:rFonts w:hint="eastAsia"/>
                <w:snapToGrid w:val="0"/>
                <w:color w:val="auto"/>
                <w:kern w:val="0"/>
                <w:highlight w:val="yellow"/>
              </w:rPr>
            </w:pPr>
            <w:r>
              <w:rPr>
                <w:rFonts w:hint="eastAsia"/>
                <w:snapToGrid w:val="0"/>
                <w:color w:val="auto"/>
                <w:kern w:val="0"/>
                <w:highlight w:val="yellow"/>
              </w:rPr>
              <w:t>4.4以电子保函形式交纳的，投标保证金的交纳时间以保函开具时间为准。</w:t>
            </w:r>
            <w:r>
              <w:rPr>
                <w:rFonts w:hint="eastAsia"/>
                <w:snapToGrid w:val="0"/>
                <w:color w:val="FF0000"/>
                <w:kern w:val="0"/>
                <w:highlight w:val="none"/>
                <w:lang w:val="en-US" w:eastAsia="zh-CN"/>
              </w:rPr>
              <w:t>投标人支付的电子保函费用必须由单位基本账户支付。</w:t>
            </w:r>
            <w:r>
              <w:rPr>
                <w:rFonts w:hint="eastAsia"/>
                <w:snapToGrid w:val="0"/>
                <w:color w:val="FF0000"/>
                <w:kern w:val="0"/>
                <w:highlight w:val="none"/>
                <w:lang w:eastAsia="zh-CN"/>
              </w:rPr>
              <w:t>投标文件中应附电子保函彩色复印件、</w:t>
            </w:r>
            <w:r>
              <w:rPr>
                <w:rFonts w:hint="eastAsia"/>
                <w:snapToGrid w:val="0"/>
                <w:color w:val="FF0000"/>
                <w:kern w:val="0"/>
                <w:highlight w:val="none"/>
                <w:lang w:val="en-US" w:eastAsia="zh-CN"/>
              </w:rPr>
              <w:t>保费由单位基本账户缴纳凭证彩色复印件、</w:t>
            </w:r>
            <w:r>
              <w:rPr>
                <w:rFonts w:hint="eastAsia"/>
                <w:snapToGrid w:val="0"/>
                <w:color w:val="FF0000"/>
                <w:kern w:val="0"/>
                <w:highlight w:val="none"/>
                <w:lang w:eastAsia="zh-CN"/>
              </w:rPr>
              <w:t>基本账户开户许可证（或基本账户信息）彩色复印件。</w:t>
            </w:r>
          </w:p>
          <w:p>
            <w:pPr>
              <w:adjustRightInd w:val="0"/>
              <w:snapToGrid w:val="0"/>
              <w:spacing w:line="300" w:lineRule="auto"/>
              <w:ind w:firstLine="12" w:firstLineChars="6"/>
              <w:rPr>
                <w:snapToGrid w:val="0"/>
                <w:color w:val="auto"/>
                <w:kern w:val="0"/>
                <w:highlight w:val="yellow"/>
              </w:rPr>
            </w:pPr>
            <w:r>
              <w:rPr>
                <w:rFonts w:hint="eastAsia"/>
                <w:snapToGrid w:val="0"/>
                <w:color w:val="auto"/>
                <w:kern w:val="0"/>
                <w:highlight w:val="yellow"/>
              </w:rPr>
              <w:t>5.</w:t>
            </w:r>
            <w:r>
              <w:rPr>
                <w:snapToGrid w:val="0"/>
                <w:color w:val="auto"/>
                <w:kern w:val="0"/>
                <w:highlight w:val="yellow"/>
              </w:rPr>
              <w:t>联合体投标的，投标保证金由牵头人交纳。</w:t>
            </w:r>
          </w:p>
          <w:p>
            <w:pPr>
              <w:adjustRightInd w:val="0"/>
              <w:snapToGrid w:val="0"/>
              <w:spacing w:line="300" w:lineRule="auto"/>
              <w:ind w:firstLine="12" w:firstLineChars="6"/>
              <w:rPr>
                <w:snapToGrid w:val="0"/>
                <w:color w:val="auto"/>
                <w:kern w:val="0"/>
                <w:highlight w:val="yellow"/>
              </w:rPr>
            </w:pPr>
            <w:r>
              <w:rPr>
                <w:rFonts w:hint="eastAsia"/>
                <w:snapToGrid w:val="0"/>
                <w:color w:val="auto"/>
                <w:kern w:val="0"/>
                <w:highlight w:val="yellow"/>
              </w:rPr>
              <w:t>6.为适应全流程电子化需要，以保函形式交纳投标保证金的，建议优先采用电子保函。</w:t>
            </w:r>
          </w:p>
          <w:p>
            <w:pPr>
              <w:adjustRightInd w:val="0"/>
              <w:snapToGrid w:val="0"/>
              <w:spacing w:line="300" w:lineRule="auto"/>
              <w:ind w:firstLine="12" w:firstLineChars="6"/>
              <w:rPr>
                <w:rFonts w:hint="eastAsia" w:ascii="宋体" w:hAnsi="宋体"/>
                <w:color w:val="auto"/>
                <w:szCs w:val="21"/>
                <w:highlight w:val="yellow"/>
              </w:rPr>
            </w:pPr>
            <w:r>
              <w:rPr>
                <w:rFonts w:hint="eastAsia"/>
                <w:snapToGrid w:val="0"/>
                <w:color w:val="auto"/>
                <w:kern w:val="0"/>
                <w:highlight w:val="yellow"/>
              </w:rPr>
              <w:t>7.</w:t>
            </w:r>
            <w:r>
              <w:rPr>
                <w:rFonts w:hint="eastAsia" w:ascii="宋体" w:hAnsi="宋体"/>
                <w:color w:val="auto"/>
                <w:szCs w:val="21"/>
                <w:highlight w:val="yellow"/>
              </w:rPr>
              <w:t xml:space="preserve"> 无论采取何种形式的投标保证金，投标保证金有效期均应与投标有效期一致。招标人如果按本章第</w:t>
            </w:r>
            <w:r>
              <w:rPr>
                <w:rFonts w:ascii="宋体" w:hAnsi="宋体"/>
                <w:color w:val="auto"/>
                <w:szCs w:val="21"/>
                <w:highlight w:val="yellow"/>
              </w:rPr>
              <w:t>3.3.3</w:t>
            </w:r>
            <w:r>
              <w:rPr>
                <w:rFonts w:hint="eastAsia" w:ascii="宋体" w:hAnsi="宋体"/>
                <w:color w:val="auto"/>
                <w:szCs w:val="21"/>
                <w:highlight w:val="yellow"/>
              </w:rPr>
              <w:t>项的规定延长了投标有效期，则投标保证金的有效期也相应延长。</w:t>
            </w:r>
          </w:p>
          <w:p>
            <w:pPr>
              <w:autoSpaceDN w:val="0"/>
              <w:adjustRightInd w:val="0"/>
              <w:snapToGrid w:val="0"/>
              <w:spacing w:line="320" w:lineRule="exact"/>
              <w:textAlignment w:val="top"/>
              <w:rPr>
                <w:rFonts w:hint="default" w:eastAsia="宋体"/>
                <w:snapToGrid w:val="0"/>
                <w:color w:val="auto"/>
                <w:kern w:val="0"/>
                <w:highlight w:val="yellow"/>
                <w:u w:val="single"/>
                <w:lang w:val="en-US" w:eastAsia="zh-CN"/>
              </w:rPr>
            </w:pPr>
          </w:p>
          <w:p>
            <w:pPr>
              <w:adjustRightInd w:val="0"/>
              <w:snapToGrid w:val="0"/>
              <w:spacing w:line="300" w:lineRule="auto"/>
              <w:ind w:firstLine="12" w:firstLineChars="6"/>
              <w:rPr>
                <w:rFonts w:hint="eastAsia" w:ascii="宋体" w:hAnsi="宋体" w:eastAsia="宋体"/>
                <w:color w:val="auto"/>
                <w:szCs w:val="21"/>
                <w:highlight w:val="yellow"/>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u w:val="single"/>
              </w:rPr>
            </w:pPr>
            <w:r>
              <w:rPr>
                <w:rFonts w:ascii="宋体" w:hAnsi="宋体" w:cs="宋体"/>
                <w:szCs w:val="21"/>
                <w:highlight w:val="none"/>
                <w:u w:val="single"/>
              </w:rPr>
              <w:t>3.6.1</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是否允许递交备选投标方案</w:t>
            </w:r>
          </w:p>
        </w:tc>
        <w:tc>
          <w:tcPr>
            <w:tcW w:w="6379" w:type="dxa"/>
            <w:vAlign w:val="center"/>
          </w:tcPr>
          <w:p>
            <w:pPr>
              <w:adjustRightInd w:val="0"/>
              <w:snapToGrid w:val="0"/>
              <w:spacing w:line="300" w:lineRule="auto"/>
              <w:rPr>
                <w:rFonts w:ascii="宋体" w:cs="宋体"/>
                <w:kern w:val="0"/>
                <w:szCs w:val="21"/>
                <w:highlight w:val="yellow"/>
              </w:rPr>
            </w:pPr>
            <w:r>
              <w:rPr>
                <w:rFonts w:hint="eastAsia" w:ascii="宋体" w:hAnsi="宋体" w:cs="宋体"/>
                <w:kern w:val="0"/>
                <w:szCs w:val="21"/>
                <w:highlight w:val="yellow"/>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szCs w:val="21"/>
                <w:u w:val="single"/>
              </w:rPr>
            </w:pPr>
            <w:r>
              <w:rPr>
                <w:rFonts w:hint="eastAsia" w:ascii="宋体" w:hAnsi="宋体" w:cs="宋体"/>
                <w:szCs w:val="21"/>
                <w:u w:val="single"/>
              </w:rPr>
              <w:t>3.7.3</w:t>
            </w:r>
          </w:p>
        </w:tc>
        <w:tc>
          <w:tcPr>
            <w:tcW w:w="2410" w:type="dxa"/>
            <w:vAlign w:val="center"/>
          </w:tcPr>
          <w:p>
            <w:pPr>
              <w:adjustRightInd w:val="0"/>
              <w:snapToGrid w:val="0"/>
              <w:spacing w:line="300" w:lineRule="auto"/>
              <w:ind w:right="-107" w:rightChars="-51"/>
              <w:jc w:val="center"/>
              <w:rPr>
                <w:rFonts w:ascii="宋体" w:hAnsi="宋体" w:cs="宋体"/>
                <w:szCs w:val="21"/>
                <w:highlight w:val="yellow"/>
              </w:rPr>
            </w:pPr>
            <w:r>
              <w:rPr>
                <w:rFonts w:hint="eastAsia" w:ascii="宋体" w:hAnsi="宋体" w:cs="宋体"/>
                <w:szCs w:val="21"/>
                <w:highlight w:val="yellow"/>
              </w:rPr>
              <w:t>投标文件的编制</w:t>
            </w:r>
          </w:p>
        </w:tc>
        <w:tc>
          <w:tcPr>
            <w:tcW w:w="6379" w:type="dxa"/>
            <w:vAlign w:val="center"/>
          </w:tcPr>
          <w:p>
            <w:pPr>
              <w:pStyle w:val="14"/>
              <w:spacing w:before="38"/>
              <w:jc w:val="left"/>
              <w:rPr>
                <w:rFonts w:ascii="宋体" w:hAnsi="宋体" w:cs="宋体"/>
                <w:sz w:val="21"/>
                <w:highlight w:val="yellow"/>
                <w:lang w:val="en-US" w:eastAsia="zh-CN"/>
              </w:rPr>
            </w:pPr>
            <w:r>
              <w:rPr>
                <w:rFonts w:hint="eastAsia" w:ascii="宋体" w:hAnsi="宋体" w:cs="宋体"/>
                <w:sz w:val="21"/>
                <w:highlight w:val="yellow"/>
                <w:lang w:val="en-US" w:eastAsia="zh-CN"/>
              </w:rPr>
              <w:t>投标文件的制作应满足以下规定：</w:t>
            </w:r>
          </w:p>
          <w:p>
            <w:pPr>
              <w:pStyle w:val="14"/>
              <w:spacing w:before="68" w:line="288" w:lineRule="auto"/>
              <w:ind w:right="224"/>
              <w:rPr>
                <w:rFonts w:ascii="宋体" w:hAnsi="宋体" w:cs="宋体"/>
                <w:sz w:val="21"/>
                <w:highlight w:val="yellow"/>
                <w:lang w:val="en-US" w:eastAsia="zh-CN"/>
              </w:rPr>
            </w:pPr>
            <w:r>
              <w:rPr>
                <w:rFonts w:hint="eastAsia" w:ascii="宋体" w:hAnsi="宋体" w:cs="宋体"/>
                <w:sz w:val="21"/>
                <w:highlight w:val="yellow"/>
                <w:lang w:val="en-US" w:eastAsia="zh-CN"/>
              </w:rPr>
              <w:t>（</w:t>
            </w:r>
            <w:r>
              <w:rPr>
                <w:rFonts w:ascii="宋体" w:hAnsi="宋体" w:cs="宋体"/>
                <w:sz w:val="21"/>
                <w:highlight w:val="yellow"/>
                <w:lang w:val="en-US" w:eastAsia="zh-CN"/>
              </w:rPr>
              <w:t>1</w:t>
            </w:r>
            <w:r>
              <w:rPr>
                <w:rFonts w:hint="eastAsia" w:ascii="宋体" w:hAnsi="宋体" w:cs="宋体"/>
                <w:sz w:val="21"/>
                <w:highlight w:val="yellow"/>
                <w:lang w:val="en-US" w:eastAsia="zh-CN"/>
              </w:rPr>
              <w:t>）</w:t>
            </w:r>
            <w:r>
              <w:rPr>
                <w:rFonts w:hint="eastAsia"/>
                <w:kern w:val="2"/>
                <w:sz w:val="22"/>
                <w:szCs w:val="22"/>
                <w:highlight w:val="yellow"/>
                <w:lang w:val="en-US" w:eastAsia="zh-CN"/>
              </w:rPr>
              <w:t>投标人根据【 青岛市公共资源投标文件制作工具】 编制电子投标文件</w:t>
            </w:r>
            <w:r>
              <w:rPr>
                <w:rFonts w:hint="eastAsia" w:ascii="宋体" w:hAnsi="宋体" w:cs="宋体"/>
                <w:sz w:val="21"/>
                <w:highlight w:val="yellow"/>
                <w:lang w:val="en-US" w:eastAsia="zh-CN"/>
              </w:rPr>
              <w:t>。</w:t>
            </w:r>
          </w:p>
          <w:p>
            <w:pPr>
              <w:pStyle w:val="14"/>
              <w:spacing w:before="68" w:line="288" w:lineRule="auto"/>
              <w:ind w:right="224"/>
              <w:rPr>
                <w:rFonts w:ascii="宋体" w:hAnsi="宋体" w:cs="宋体"/>
                <w:sz w:val="21"/>
                <w:highlight w:val="yellow"/>
                <w:lang w:val="en-US" w:eastAsia="zh-CN"/>
              </w:rPr>
            </w:pPr>
            <w:r>
              <w:rPr>
                <w:rFonts w:hint="eastAsia" w:ascii="宋体" w:hAnsi="宋体" w:cs="宋体"/>
                <w:sz w:val="21"/>
                <w:highlight w:val="yellow"/>
                <w:lang w:val="en-US" w:eastAsia="zh-CN"/>
              </w:rPr>
              <w:t>（</w:t>
            </w:r>
            <w:r>
              <w:rPr>
                <w:rFonts w:ascii="宋体" w:hAnsi="宋体" w:cs="宋体"/>
                <w:sz w:val="21"/>
                <w:highlight w:val="yellow"/>
                <w:lang w:val="en-US" w:eastAsia="zh-CN"/>
              </w:rPr>
              <w:t>2</w:t>
            </w:r>
            <w:r>
              <w:rPr>
                <w:rFonts w:hint="eastAsia" w:ascii="宋体" w:hAnsi="宋体" w:cs="宋体"/>
                <w:sz w:val="21"/>
                <w:highlight w:val="yellow"/>
                <w:lang w:val="en-US" w:eastAsia="zh-CN"/>
              </w:rPr>
              <w:t>）</w:t>
            </w:r>
            <w:r>
              <w:rPr>
                <w:rFonts w:hint="eastAsia"/>
                <w:kern w:val="2"/>
                <w:sz w:val="22"/>
                <w:szCs w:val="22"/>
                <w:highlight w:val="yellow"/>
                <w:lang w:val="en-US" w:eastAsia="zh-CN"/>
              </w:rPr>
              <w:t>投标人下载电子招标文件后， 使用【青岛市公共资源投标文件制作工具】 打开， 并切换到投标文件制作模式， 标书内容可通过右键绑定pdf的形式上传</w:t>
            </w:r>
            <w:r>
              <w:rPr>
                <w:rFonts w:hint="eastAsia" w:ascii="宋体" w:hAnsi="宋体" w:cs="宋体"/>
                <w:sz w:val="21"/>
                <w:highlight w:val="yellow"/>
                <w:lang w:val="en-US" w:eastAsia="zh-CN"/>
              </w:rPr>
              <w:t>。</w:t>
            </w:r>
          </w:p>
          <w:p>
            <w:pPr>
              <w:pStyle w:val="14"/>
              <w:spacing w:before="68" w:line="288" w:lineRule="auto"/>
              <w:ind w:right="224"/>
              <w:rPr>
                <w:rFonts w:ascii="宋体" w:hAnsi="宋体" w:cs="宋体"/>
                <w:sz w:val="21"/>
                <w:highlight w:val="yellow"/>
                <w:lang w:val="en-US" w:eastAsia="zh-CN"/>
              </w:rPr>
            </w:pPr>
            <w:r>
              <w:rPr>
                <w:rFonts w:hint="eastAsia" w:ascii="宋体" w:hAnsi="宋体" w:cs="宋体"/>
                <w:sz w:val="21"/>
                <w:highlight w:val="yellow"/>
                <w:lang w:val="en-US" w:eastAsia="zh-CN"/>
              </w:rPr>
              <w:t>（</w:t>
            </w:r>
            <w:r>
              <w:rPr>
                <w:rFonts w:ascii="宋体" w:hAnsi="宋体" w:cs="宋体"/>
                <w:sz w:val="21"/>
                <w:highlight w:val="yellow"/>
                <w:lang w:val="en-US" w:eastAsia="zh-CN"/>
              </w:rPr>
              <w:t>3</w:t>
            </w:r>
            <w:r>
              <w:rPr>
                <w:rFonts w:hint="eastAsia" w:ascii="宋体" w:hAnsi="宋体" w:cs="宋体"/>
                <w:sz w:val="21"/>
                <w:highlight w:val="yellow"/>
                <w:lang w:val="en-US" w:eastAsia="zh-CN"/>
              </w:rPr>
              <w:t>）投标文件中证明资料的“复印件”均为“原件的彩色扫描件”。</w:t>
            </w:r>
          </w:p>
          <w:p>
            <w:pPr>
              <w:pStyle w:val="14"/>
              <w:spacing w:before="38" w:line="295" w:lineRule="auto"/>
              <w:ind w:right="224"/>
              <w:jc w:val="left"/>
              <w:rPr>
                <w:rFonts w:ascii="宋体" w:hAnsi="宋体" w:cs="宋体"/>
                <w:sz w:val="21"/>
                <w:highlight w:val="yellow"/>
                <w:lang w:val="en-US" w:eastAsia="zh-CN"/>
              </w:rPr>
            </w:pPr>
            <w:r>
              <w:rPr>
                <w:rFonts w:hint="eastAsia" w:ascii="宋体" w:hAnsi="宋体" w:cs="宋体"/>
                <w:sz w:val="21"/>
                <w:highlight w:val="yellow"/>
                <w:lang w:val="en-US" w:eastAsia="zh-CN"/>
              </w:rPr>
              <w:t xml:space="preserve">（4）第九章“投标文件格式”中要求盖单位章和（或）签字的地方，投标人均 应使用 </w:t>
            </w:r>
            <w:r>
              <w:rPr>
                <w:rFonts w:ascii="宋体" w:hAnsi="宋体" w:cs="宋体"/>
                <w:sz w:val="21"/>
                <w:highlight w:val="yellow"/>
                <w:lang w:val="en-US" w:eastAsia="zh-CN"/>
              </w:rPr>
              <w:t xml:space="preserve">CA </w:t>
            </w:r>
            <w:r>
              <w:rPr>
                <w:rFonts w:hint="eastAsia" w:ascii="宋体" w:hAnsi="宋体" w:cs="宋体"/>
                <w:sz w:val="21"/>
                <w:highlight w:val="yellow"/>
                <w:lang w:val="en-US" w:eastAsia="zh-CN"/>
              </w:rPr>
              <w:t>数字证书</w:t>
            </w:r>
            <w:r>
              <w:rPr>
                <w:rFonts w:hint="eastAsia" w:ascii="宋体" w:hAnsi="宋体" w:cs="宋体"/>
                <w:color w:val="0000FF"/>
                <w:sz w:val="21"/>
                <w:highlight w:val="yellow"/>
                <w:lang w:val="en-US" w:eastAsia="zh-CN"/>
              </w:rPr>
              <w:t>(含电子营业执照，以下均简称为CA数字证书）</w:t>
            </w:r>
            <w:r>
              <w:rPr>
                <w:rFonts w:hint="eastAsia" w:ascii="宋体" w:hAnsi="宋体" w:cs="宋体"/>
                <w:sz w:val="21"/>
                <w:highlight w:val="yellow"/>
                <w:lang w:val="en-US" w:eastAsia="zh-CN"/>
              </w:rPr>
              <w:t>加盖投标人的单位电子印章和（或）个人电子印章或电子签名章。联合体投标的，投标文件由联合体牵头人按上述规定加盖联合体 牵头人单位电子印章和（或）个人电子印章或电子签名章。</w:t>
            </w:r>
            <w:r>
              <w:rPr>
                <w:rFonts w:hint="eastAsia"/>
                <w:kern w:val="2"/>
                <w:sz w:val="22"/>
                <w:szCs w:val="22"/>
                <w:highlight w:val="yellow"/>
                <w:lang w:val="en-US" w:eastAsia="zh-CN"/>
              </w:rPr>
              <w:t>操作详见“青岛市公共资源交易电子服务系统＞首页＞下载中心＞系统使用指南＞电子签章操作说明”。</w:t>
            </w:r>
          </w:p>
          <w:p>
            <w:pPr>
              <w:pStyle w:val="14"/>
              <w:spacing w:before="31" w:line="288" w:lineRule="auto"/>
              <w:ind w:right="222"/>
              <w:rPr>
                <w:rFonts w:ascii="宋体" w:hAnsi="宋体" w:cs="宋体"/>
                <w:sz w:val="21"/>
                <w:highlight w:val="yellow"/>
                <w:lang w:val="en-US" w:eastAsia="zh-CN"/>
              </w:rPr>
            </w:pPr>
            <w:r>
              <w:rPr>
                <w:rFonts w:hint="eastAsia" w:ascii="宋体" w:hAnsi="宋体" w:cs="宋体"/>
                <w:sz w:val="21"/>
                <w:highlight w:val="yellow"/>
                <w:lang w:val="en-US" w:eastAsia="zh-CN"/>
              </w:rPr>
              <w:t xml:space="preserve">（5）投标文件制作完成后，投标人应使用 </w:t>
            </w:r>
            <w:r>
              <w:rPr>
                <w:rFonts w:ascii="宋体" w:hAnsi="宋体" w:cs="宋体"/>
                <w:sz w:val="21"/>
                <w:highlight w:val="yellow"/>
                <w:lang w:val="en-US" w:eastAsia="zh-CN"/>
              </w:rPr>
              <w:t xml:space="preserve">CA </w:t>
            </w:r>
            <w:r>
              <w:rPr>
                <w:rFonts w:hint="eastAsia" w:ascii="宋体" w:hAnsi="宋体" w:cs="宋体"/>
                <w:sz w:val="21"/>
                <w:highlight w:val="yellow"/>
                <w:lang w:val="en-US" w:eastAsia="zh-CN"/>
              </w:rPr>
              <w:t>数字证书对投标文件进行文件加密，形成加密的投标文件。</w:t>
            </w:r>
          </w:p>
          <w:p>
            <w:pPr>
              <w:pStyle w:val="14"/>
              <w:spacing w:before="39"/>
              <w:jc w:val="left"/>
              <w:rPr>
                <w:rFonts w:ascii="宋体" w:hAnsi="宋体" w:cs="宋体"/>
                <w:sz w:val="21"/>
                <w:highlight w:val="yellow"/>
                <w:lang w:val="en-US" w:eastAsia="zh-CN"/>
              </w:rPr>
            </w:pPr>
            <w:r>
              <w:rPr>
                <w:rFonts w:hint="eastAsia" w:ascii="宋体" w:hAnsi="宋体" w:cs="宋体"/>
                <w:sz w:val="21"/>
                <w:highlight w:val="yellow"/>
                <w:lang w:val="en-US" w:eastAsia="zh-CN"/>
              </w:rPr>
              <w:t>（6）投标文件制作的具体方法详见</w:t>
            </w:r>
            <w:r>
              <w:rPr>
                <w:rFonts w:hint="eastAsia"/>
                <w:kern w:val="2"/>
                <w:sz w:val="22"/>
                <w:szCs w:val="22"/>
                <w:highlight w:val="yellow"/>
                <w:lang w:val="en-US" w:eastAsia="zh-CN"/>
              </w:rPr>
              <w:t>“青岛市公共资源交易电子服务系统＞首页＞服务公开＞服务指南＞投标文件制作指南”</w:t>
            </w:r>
            <w:r>
              <w:rPr>
                <w:rFonts w:hint="eastAsia" w:ascii="宋体" w:hAnsi="宋体" w:cs="宋体"/>
                <w:sz w:val="21"/>
                <w:highlight w:val="yellow"/>
                <w:lang w:val="en-US" w:eastAsia="zh-CN"/>
              </w:rPr>
              <w:t>。</w:t>
            </w:r>
          </w:p>
          <w:p>
            <w:pPr>
              <w:pStyle w:val="14"/>
              <w:spacing w:before="39"/>
              <w:jc w:val="left"/>
              <w:rPr>
                <w:rFonts w:ascii="宋体" w:hAnsi="宋体" w:cs="宋体"/>
                <w:sz w:val="21"/>
                <w:szCs w:val="21"/>
                <w:highlight w:val="yellow"/>
                <w:lang w:val="en-US" w:eastAsia="zh-CN"/>
              </w:rPr>
            </w:pPr>
            <w:r>
              <w:rPr>
                <w:rFonts w:hint="eastAsia" w:ascii="宋体" w:hAnsi="宋体" w:cs="宋体"/>
                <w:sz w:val="21"/>
                <w:highlight w:val="yellow"/>
                <w:lang w:val="en-US" w:eastAsia="zh-CN"/>
              </w:rPr>
              <w:t>（7）</w:t>
            </w:r>
            <w:r>
              <w:rPr>
                <w:rFonts w:ascii="宋体" w:hAnsi="宋体" w:cs="宋体"/>
                <w:sz w:val="21"/>
                <w:highlight w:val="yellow"/>
                <w:lang w:val="en-US" w:eastAsia="zh-CN"/>
              </w:rPr>
              <w:t>投标企业同时参加多个标段的工程投标，在打开电子版招标文件切换到电子投标文件制作后，应在“标段管理”中选择</w:t>
            </w:r>
            <w:r>
              <w:rPr>
                <w:rFonts w:hint="eastAsia" w:ascii="宋体" w:hAnsi="宋体" w:cs="宋体"/>
                <w:sz w:val="21"/>
                <w:highlight w:val="yellow"/>
                <w:lang w:val="en-US" w:eastAsia="zh-CN"/>
              </w:rPr>
              <w:t>所有</w:t>
            </w:r>
            <w:r>
              <w:rPr>
                <w:rFonts w:ascii="宋体" w:hAnsi="宋体" w:cs="宋体"/>
                <w:sz w:val="21"/>
                <w:highlight w:val="yellow"/>
                <w:lang w:val="en-US" w:eastAsia="zh-CN"/>
              </w:rPr>
              <w:t>参与的标段制作电子投标文件，制作完成后，依次通过“标段管理”切换到其他投标标段制作电子投标文件。在所有标段的电子投标文件都制作完成后，投标企业应将多个标段的电子投标标书保存为一个投标文件（不可以一个标段生成一个投标文件），否则电子投标文件将无法被电子评标系统读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u w:val="single"/>
              </w:rPr>
            </w:pPr>
            <w:r>
              <w:rPr>
                <w:rFonts w:ascii="宋体" w:hAnsi="宋体" w:cs="宋体"/>
                <w:szCs w:val="21"/>
                <w:u w:val="single"/>
              </w:rPr>
              <w:t>3.7.4</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投标文件副本份数及其他要求</w:t>
            </w:r>
          </w:p>
        </w:tc>
        <w:tc>
          <w:tcPr>
            <w:tcW w:w="6379" w:type="dxa"/>
            <w:vAlign w:val="center"/>
          </w:tcPr>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修改为：</w:t>
            </w:r>
          </w:p>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电子投标文件：投标人电子投标文件完成后为一个.ztb文件；</w:t>
            </w:r>
          </w:p>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投标人不需制作纸质版投标文件。</w:t>
            </w:r>
          </w:p>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因投标人自身原因而导致投标文件无法导入“电子交易平台”电子开标、评标系统，该投标视为无效投标，投标人自行承担由此导致的全部责任。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u w:val="single"/>
              </w:rPr>
            </w:pPr>
            <w:r>
              <w:rPr>
                <w:rFonts w:ascii="宋体" w:hAnsi="宋体" w:cs="宋体"/>
                <w:szCs w:val="21"/>
                <w:u w:val="single"/>
              </w:rPr>
              <w:t>3.7.5</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装订的其他要求</w:t>
            </w:r>
          </w:p>
        </w:tc>
        <w:tc>
          <w:tcPr>
            <w:tcW w:w="6379" w:type="dxa"/>
            <w:vAlign w:val="center"/>
          </w:tcPr>
          <w:p>
            <w:pPr>
              <w:adjustRightInd w:val="0"/>
              <w:snapToGrid w:val="0"/>
              <w:spacing w:line="300" w:lineRule="auto"/>
              <w:rPr>
                <w:rFonts w:ascii="宋体" w:cs="宋体"/>
                <w:kern w:val="0"/>
                <w:szCs w:val="21"/>
                <w:highlight w:val="yellow"/>
              </w:rPr>
            </w:pPr>
            <w:r>
              <w:rPr>
                <w:rFonts w:hint="eastAsia" w:ascii="宋体" w:hAnsi="宋体" w:cs="宋体"/>
                <w:kern w:val="0"/>
                <w:szCs w:val="21"/>
                <w:highlight w:val="yellow"/>
              </w:rPr>
              <w:t>修改为：本项目</w:t>
            </w:r>
            <w:r>
              <w:rPr>
                <w:rFonts w:hint="eastAsia" w:ascii="宋体" w:hAnsi="宋体" w:cs="宋体"/>
                <w:kern w:val="0"/>
                <w:highlight w:val="yellow"/>
              </w:rPr>
              <w:t>投标人不需制作纸质版投标文件，无装订要求。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szCs w:val="21"/>
                <w:u w:val="single"/>
              </w:rPr>
            </w:pPr>
            <w:r>
              <w:rPr>
                <w:rFonts w:hint="eastAsia" w:ascii="宋体" w:hAnsi="宋体" w:cs="宋体"/>
                <w:szCs w:val="21"/>
                <w:u w:val="single"/>
              </w:rPr>
              <w:t>4.1</w:t>
            </w:r>
          </w:p>
        </w:tc>
        <w:tc>
          <w:tcPr>
            <w:tcW w:w="2410" w:type="dxa"/>
            <w:vAlign w:val="center"/>
          </w:tcPr>
          <w:p>
            <w:pPr>
              <w:adjustRightInd w:val="0"/>
              <w:snapToGrid w:val="0"/>
              <w:spacing w:line="300" w:lineRule="auto"/>
              <w:ind w:right="-107" w:rightChars="-51"/>
              <w:jc w:val="center"/>
              <w:rPr>
                <w:rFonts w:ascii="宋体" w:hAnsi="宋体" w:cs="宋体"/>
                <w:szCs w:val="21"/>
                <w:highlight w:val="yellow"/>
              </w:rPr>
            </w:pPr>
            <w:r>
              <w:rPr>
                <w:rFonts w:hint="eastAsia" w:ascii="宋体" w:hAnsi="宋体" w:cs="宋体"/>
                <w:szCs w:val="21"/>
                <w:highlight w:val="yellow"/>
              </w:rPr>
              <w:t>投标文件的加密</w:t>
            </w:r>
          </w:p>
        </w:tc>
        <w:tc>
          <w:tcPr>
            <w:tcW w:w="6379" w:type="dxa"/>
            <w:vAlign w:val="center"/>
          </w:tcPr>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修改为：</w:t>
            </w:r>
          </w:p>
          <w:p>
            <w:pPr>
              <w:adjustRightInd w:val="0"/>
              <w:snapToGrid w:val="0"/>
              <w:spacing w:line="300" w:lineRule="auto"/>
              <w:rPr>
                <w:rFonts w:ascii="宋体" w:hAnsi="宋体" w:cs="宋体"/>
                <w:kern w:val="0"/>
                <w:szCs w:val="21"/>
                <w:highlight w:val="yellow"/>
              </w:rPr>
            </w:pPr>
            <w:r>
              <w:rPr>
                <w:rFonts w:hint="eastAsia" w:ascii="宋体" w:hAnsi="宋体" w:cs="宋体"/>
                <w:kern w:val="0"/>
                <w:highlight w:val="yellow"/>
              </w:rPr>
              <w:t>投标文件应按照本章要求制作并加密，未按要求加密的投标文件，招 标人（“电子交易平台”）将拒绝接收并提示。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szCs w:val="21"/>
                <w:u w:val="single"/>
              </w:rPr>
            </w:pPr>
            <w:r>
              <w:rPr>
                <w:rFonts w:hint="eastAsia" w:ascii="宋体" w:hAnsi="宋体" w:cs="宋体"/>
                <w:szCs w:val="21"/>
                <w:u w:val="single"/>
              </w:rPr>
              <w:t>4.2</w:t>
            </w:r>
          </w:p>
        </w:tc>
        <w:tc>
          <w:tcPr>
            <w:tcW w:w="2410" w:type="dxa"/>
            <w:vAlign w:val="center"/>
          </w:tcPr>
          <w:p>
            <w:pPr>
              <w:adjustRightInd w:val="0"/>
              <w:snapToGrid w:val="0"/>
              <w:spacing w:line="300" w:lineRule="auto"/>
              <w:ind w:right="-107" w:rightChars="-51"/>
              <w:jc w:val="center"/>
              <w:rPr>
                <w:rFonts w:ascii="宋体" w:hAnsi="宋体" w:cs="宋体"/>
                <w:szCs w:val="21"/>
                <w:highlight w:val="yellow"/>
              </w:rPr>
            </w:pPr>
            <w:r>
              <w:rPr>
                <w:rFonts w:hint="eastAsia" w:ascii="宋体" w:hAnsi="宋体" w:cs="宋体"/>
                <w:szCs w:val="21"/>
                <w:highlight w:val="yellow"/>
              </w:rPr>
              <w:t>投标文件的递交</w:t>
            </w:r>
          </w:p>
        </w:tc>
        <w:tc>
          <w:tcPr>
            <w:tcW w:w="6379" w:type="dxa"/>
            <w:vAlign w:val="center"/>
          </w:tcPr>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修改为：</w:t>
            </w:r>
          </w:p>
          <w:p>
            <w:pPr>
              <w:adjustRightInd w:val="0"/>
              <w:snapToGrid w:val="0"/>
              <w:spacing w:line="300" w:lineRule="auto"/>
              <w:rPr>
                <w:color w:val="000000"/>
                <w:sz w:val="22"/>
                <w:szCs w:val="22"/>
                <w:highlight w:val="yellow"/>
              </w:rPr>
            </w:pPr>
            <w:r>
              <w:rPr>
                <w:rFonts w:hint="eastAsia"/>
                <w:color w:val="000000"/>
                <w:sz w:val="22"/>
                <w:szCs w:val="22"/>
                <w:highlight w:val="yellow"/>
              </w:rPr>
              <w:t>递交截止时间： 同投标截止时间、 开标时间。</w:t>
            </w:r>
          </w:p>
          <w:p>
            <w:pPr>
              <w:adjustRightInd w:val="0"/>
              <w:snapToGrid w:val="0"/>
              <w:spacing w:line="300" w:lineRule="auto"/>
              <w:rPr>
                <w:rFonts w:ascii="宋体" w:hAnsi="宋体" w:cs="宋体"/>
                <w:kern w:val="0"/>
                <w:highlight w:val="yellow"/>
              </w:rPr>
            </w:pPr>
            <w:r>
              <w:rPr>
                <w:rFonts w:hint="eastAsia"/>
                <w:color w:val="000000"/>
                <w:sz w:val="22"/>
                <w:szCs w:val="22"/>
                <w:highlight w:val="yellow"/>
              </w:rPr>
              <w:t>投标文件上传方式： 投标文件编制完成后， 点击【青岛市公共资源投标文件制作工具】 工具栏上的“签章” 按钮进行电子签章。签章完后再点击工具栏的“上传” 按钮， 系统自动加密并上传投标文件， 上传成功后， 系统出具上传凭证， 即为投标文件递交成功，</w:t>
            </w:r>
            <w:r>
              <w:rPr>
                <w:rFonts w:hint="eastAsia" w:ascii="宋体" w:hAnsi="宋体" w:cs="宋体"/>
                <w:kern w:val="0"/>
                <w:highlight w:val="yellow"/>
              </w:rPr>
              <w:t>递交时间即为电子签收凭证时间，</w:t>
            </w:r>
            <w:r>
              <w:rPr>
                <w:rFonts w:hint="eastAsia"/>
                <w:color w:val="000000"/>
                <w:sz w:val="22"/>
                <w:szCs w:val="22"/>
                <w:highlight w:val="yellow"/>
              </w:rPr>
              <w:t>投标人可下载上传凭证。</w:t>
            </w:r>
            <w:r>
              <w:rPr>
                <w:rFonts w:hint="eastAsia" w:ascii="宋体" w:hAnsi="宋体" w:cs="宋体"/>
                <w:kern w:val="0"/>
                <w:highlight w:val="yellow"/>
              </w:rPr>
              <w:t>投 标人应充分考虑上传文件时的不可预见因素，未在投标截止时间前完成上传的，视为逾期送达，招标人（“电子交易平台”）将拒绝接收。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u w:val="single"/>
              </w:rPr>
            </w:pPr>
            <w:r>
              <w:rPr>
                <w:rFonts w:hint="eastAsia" w:ascii="宋体" w:hAnsi="宋体" w:cs="宋体"/>
                <w:u w:val="single"/>
              </w:rPr>
              <w:t>4.3</w:t>
            </w:r>
          </w:p>
        </w:tc>
        <w:tc>
          <w:tcPr>
            <w:tcW w:w="2410"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投标文件的修改与撤回</w:t>
            </w:r>
          </w:p>
        </w:tc>
        <w:tc>
          <w:tcPr>
            <w:tcW w:w="6379" w:type="dxa"/>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修改为：</w:t>
            </w:r>
          </w:p>
          <w:p>
            <w:pPr>
              <w:adjustRightInd w:val="0"/>
              <w:snapToGrid w:val="0"/>
              <w:spacing w:line="300" w:lineRule="auto"/>
              <w:rPr>
                <w:rFonts w:ascii="宋体" w:hAnsi="宋体" w:cs="宋体"/>
                <w:highlight w:val="yellow"/>
              </w:rPr>
            </w:pPr>
            <w:r>
              <w:rPr>
                <w:rFonts w:hint="eastAsia" w:ascii="宋体" w:hAnsi="宋体" w:cs="宋体"/>
                <w:highlight w:val="yellow"/>
              </w:rPr>
              <w:t>投标人在招标文件要求提交投标文件截止时间前，可以修改或者撤回已上传的电子投标文件；</w:t>
            </w:r>
          </w:p>
          <w:p>
            <w:pPr>
              <w:adjustRightInd w:val="0"/>
              <w:snapToGrid w:val="0"/>
              <w:spacing w:line="300" w:lineRule="auto"/>
              <w:rPr>
                <w:rFonts w:ascii="宋体" w:hAnsi="宋体" w:cs="宋体"/>
                <w:highlight w:val="yellow"/>
              </w:rPr>
            </w:pPr>
            <w:r>
              <w:rPr>
                <w:rFonts w:hint="eastAsia" w:ascii="宋体" w:hAnsi="宋体" w:cs="宋体"/>
                <w:highlight w:val="yellow"/>
              </w:rPr>
              <w:t>需要修改电子投标文件的，可以点击【青岛市公共资源投标文件制作工具】工具栏上的“删除签章”按钮，撤销签章后修改。修改完成后重新上传，替换原来的电子投标文件。</w:t>
            </w:r>
          </w:p>
          <w:p>
            <w:pPr>
              <w:adjustRightInd w:val="0"/>
              <w:snapToGrid w:val="0"/>
              <w:spacing w:line="300" w:lineRule="auto"/>
              <w:rPr>
                <w:rFonts w:ascii="宋体" w:hAnsi="宋体" w:cs="宋体"/>
                <w:highlight w:val="yellow"/>
              </w:rPr>
            </w:pPr>
            <w:r>
              <w:rPr>
                <w:rFonts w:hint="eastAsia" w:ascii="宋体" w:hAnsi="宋体" w:cs="宋体"/>
                <w:highlight w:val="yellow"/>
              </w:rPr>
              <w:t>本项目的投标文件递交截止时间、投标截止时间和开标时间为同一时间，在投标截止时间后，投标人不得补充、修改、替代或者撤回其投标文件。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u w:val="single"/>
              </w:rPr>
            </w:pPr>
            <w:r>
              <w:rPr>
                <w:rFonts w:ascii="宋体" w:hAnsi="宋体" w:cs="宋体"/>
                <w:szCs w:val="21"/>
                <w:u w:val="single"/>
              </w:rPr>
              <w:t>5.1</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开标时间和地点</w:t>
            </w:r>
          </w:p>
        </w:tc>
        <w:tc>
          <w:tcPr>
            <w:tcW w:w="6379" w:type="dxa"/>
            <w:vAlign w:val="center"/>
          </w:tcPr>
          <w:p>
            <w:pPr>
              <w:adjustRightInd w:val="0"/>
              <w:snapToGrid w:val="0"/>
              <w:spacing w:line="300" w:lineRule="auto"/>
              <w:rPr>
                <w:rFonts w:hint="eastAsia" w:ascii="宋体" w:eastAsia="宋体" w:cs="宋体"/>
                <w:kern w:val="0"/>
                <w:szCs w:val="21"/>
                <w:highlight w:val="yellow"/>
                <w:lang w:eastAsia="zh-CN"/>
              </w:rPr>
            </w:pPr>
            <w:r>
              <w:rPr>
                <w:rFonts w:hint="eastAsia" w:ascii="宋体" w:hAnsi="宋体" w:cs="宋体"/>
                <w:highlight w:val="yellow"/>
              </w:rPr>
              <w:t>详见全国公共资源交易平台（山东省青岛市）青岛市公共资源交易电子服务系统招标公告页面</w:t>
            </w:r>
            <w:r>
              <w:rPr>
                <w:rFonts w:hint="eastAsia" w:ascii="宋体" w:hAnsi="宋体" w:cs="宋体"/>
                <w:highlight w:val="yellow"/>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u w:val="single"/>
              </w:rPr>
            </w:pPr>
            <w:r>
              <w:rPr>
                <w:rFonts w:ascii="宋体" w:hAnsi="宋体" w:cs="宋体"/>
                <w:u w:val="single"/>
              </w:rPr>
              <w:t>5.2</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开标程序</w:t>
            </w:r>
          </w:p>
        </w:tc>
        <w:tc>
          <w:tcPr>
            <w:tcW w:w="6379" w:type="dxa"/>
            <w:vAlign w:val="center"/>
          </w:tcPr>
          <w:p>
            <w:pPr>
              <w:adjustRightInd w:val="0"/>
              <w:snapToGrid w:val="0"/>
              <w:spacing w:line="300" w:lineRule="auto"/>
              <w:ind w:left="1050" w:hanging="1050" w:hangingChars="500"/>
              <w:rPr>
                <w:rFonts w:ascii="宋体" w:hAnsi="宋体" w:cs="宋体"/>
                <w:kern w:val="0"/>
                <w:highlight w:val="yellow"/>
              </w:rPr>
            </w:pPr>
            <w:r>
              <w:rPr>
                <w:rFonts w:hint="eastAsia" w:ascii="宋体" w:hAnsi="宋体" w:cs="宋体"/>
                <w:kern w:val="0"/>
                <w:highlight w:val="yellow"/>
              </w:rPr>
              <w:t>修改为：</w:t>
            </w:r>
          </w:p>
          <w:p>
            <w:pPr>
              <w:adjustRightInd w:val="0"/>
              <w:snapToGrid w:val="0"/>
              <w:rPr>
                <w:rFonts w:ascii="宋体" w:hAnsi="宋体" w:cs="宋体"/>
                <w:kern w:val="0"/>
                <w:highlight w:val="yellow"/>
              </w:rPr>
            </w:pPr>
            <w:r>
              <w:rPr>
                <w:rFonts w:hint="eastAsia" w:ascii="宋体" w:hAnsi="宋体" w:cs="宋体"/>
                <w:kern w:val="0"/>
                <w:highlight w:val="yellow"/>
              </w:rPr>
              <w:t>本项目支持网上远程开标，投标人若到现场开标，应携带上传投标文件的 CA 数字证书及可登录互联网的电脑设备以确保网上开标。开标注意事项详见“青岛市公共资源交易电子服务系统＞首页＞下载中心＞系统使用指南＞电子投标开标注意事项”。</w:t>
            </w:r>
          </w:p>
          <w:p>
            <w:pPr>
              <w:adjustRightInd w:val="0"/>
              <w:snapToGrid w:val="0"/>
              <w:rPr>
                <w:rFonts w:ascii="宋体" w:hAnsi="宋体" w:cs="宋体"/>
                <w:kern w:val="0"/>
                <w:highlight w:val="yellow"/>
              </w:rPr>
            </w:pPr>
            <w:r>
              <w:rPr>
                <w:rFonts w:hint="eastAsia" w:ascii="宋体" w:hAnsi="宋体" w:cs="宋体"/>
                <w:kern w:val="0"/>
                <w:highlight w:val="yellow"/>
              </w:rPr>
              <w:t xml:space="preserve">主持人按下列程序进行开标： </w:t>
            </w:r>
          </w:p>
          <w:p>
            <w:pPr>
              <w:rPr>
                <w:color w:val="000000"/>
                <w:sz w:val="22"/>
                <w:highlight w:val="yellow"/>
              </w:rPr>
            </w:pPr>
            <w:r>
              <w:rPr>
                <w:rFonts w:hint="eastAsia"/>
                <w:color w:val="000000"/>
                <w:sz w:val="22"/>
                <w:highlight w:val="yellow"/>
              </w:rPr>
              <w:t>（1）代理机构启动网上签到；</w:t>
            </w:r>
          </w:p>
          <w:p>
            <w:pPr>
              <w:rPr>
                <w:color w:val="000000"/>
                <w:highlight w:val="yellow"/>
              </w:rPr>
            </w:pPr>
            <w:r>
              <w:rPr>
                <w:rFonts w:hint="eastAsia"/>
                <w:color w:val="000000"/>
                <w:sz w:val="22"/>
                <w:highlight w:val="yellow"/>
              </w:rPr>
              <w:t>（2）投标人使用 CA 数字证书在开标前1个小时内完成网上签到（注：未在线签到的视为未在招标文件规定的时间内递交投标文件， 招标人不予接收其投标文件）；</w:t>
            </w:r>
          </w:p>
          <w:p>
            <w:pPr>
              <w:rPr>
                <w:color w:val="000000"/>
                <w:highlight w:val="yellow"/>
              </w:rPr>
            </w:pPr>
            <w:r>
              <w:rPr>
                <w:rFonts w:hint="eastAsia"/>
                <w:color w:val="000000"/>
                <w:sz w:val="22"/>
                <w:highlight w:val="yellow"/>
              </w:rPr>
              <w:t>（3）</w:t>
            </w:r>
            <w:r>
              <w:rPr>
                <w:color w:val="000000"/>
                <w:highlight w:val="yellow"/>
              </w:rPr>
              <w:t>宣布开标纪律；</w:t>
            </w:r>
          </w:p>
          <w:p>
            <w:pPr>
              <w:rPr>
                <w:color w:val="000000"/>
                <w:sz w:val="22"/>
                <w:highlight w:val="yellow"/>
              </w:rPr>
            </w:pPr>
            <w:r>
              <w:rPr>
                <w:rFonts w:hint="eastAsia"/>
                <w:color w:val="000000"/>
                <w:sz w:val="22"/>
                <w:highlight w:val="yellow"/>
              </w:rPr>
              <w:t>（4）招标代理机构主持开标会，宣布开标；</w:t>
            </w:r>
          </w:p>
          <w:p>
            <w:pPr>
              <w:rPr>
                <w:rFonts w:hint="eastAsia"/>
                <w:color w:val="000000"/>
                <w:sz w:val="22"/>
                <w:highlight w:val="yellow"/>
              </w:rPr>
            </w:pPr>
            <w:r>
              <w:rPr>
                <w:rFonts w:hint="eastAsia"/>
                <w:color w:val="000000"/>
                <w:sz w:val="22"/>
                <w:highlight w:val="yellow"/>
              </w:rPr>
              <w:t>（5）宣布开标人、唱标人等有关人员姓名；</w:t>
            </w:r>
          </w:p>
          <w:p>
            <w:pPr>
              <w:rPr>
                <w:rFonts w:hint="eastAsia"/>
                <w:color w:val="000000"/>
                <w:sz w:val="22"/>
                <w:highlight w:val="yellow"/>
              </w:rPr>
            </w:pPr>
            <w:r>
              <w:rPr>
                <w:rFonts w:hint="eastAsia"/>
                <w:color w:val="000000"/>
                <w:sz w:val="22"/>
                <w:highlight w:val="yellow"/>
                <w:lang w:val="en-US" w:eastAsia="zh-CN"/>
              </w:rPr>
              <w:t>（6）招标人（代理机构）抽取加权系数（如有）；</w:t>
            </w:r>
          </w:p>
          <w:p>
            <w:pPr>
              <w:rPr>
                <w:color w:val="000000"/>
                <w:sz w:val="22"/>
                <w:highlight w:val="yellow"/>
              </w:rPr>
            </w:pPr>
            <w:r>
              <w:rPr>
                <w:rFonts w:hint="eastAsia"/>
                <w:color w:val="000000"/>
                <w:sz w:val="22"/>
                <w:highlight w:val="yellow"/>
              </w:rPr>
              <w:t>（</w:t>
            </w:r>
            <w:r>
              <w:rPr>
                <w:rFonts w:hint="eastAsia"/>
                <w:color w:val="000000"/>
                <w:sz w:val="22"/>
                <w:highlight w:val="yellow"/>
                <w:lang w:val="en-US" w:eastAsia="zh-CN"/>
              </w:rPr>
              <w:t>7</w:t>
            </w:r>
            <w:r>
              <w:rPr>
                <w:rFonts w:hint="eastAsia"/>
                <w:color w:val="000000"/>
                <w:sz w:val="22"/>
                <w:highlight w:val="yellow"/>
              </w:rPr>
              <w:t>）代理机构启动解密， 投标人使用 CA 数字证书</w:t>
            </w:r>
            <w:r>
              <w:rPr>
                <w:rFonts w:hint="eastAsia"/>
                <w:color w:val="000000"/>
                <w:sz w:val="22"/>
                <w:highlight w:val="yellow"/>
                <w:lang w:eastAsia="zh-CN"/>
              </w:rPr>
              <w:t>（注：须为</w:t>
            </w:r>
            <w:r>
              <w:rPr>
                <w:rFonts w:hint="eastAsia" w:ascii="宋体" w:hAnsi="宋体" w:cs="宋体"/>
                <w:kern w:val="0"/>
                <w:highlight w:val="yellow"/>
              </w:rPr>
              <w:t>上传投标文件</w:t>
            </w:r>
            <w:r>
              <w:rPr>
                <w:rFonts w:hint="eastAsia" w:ascii="宋体" w:hAnsi="宋体" w:cs="宋体"/>
                <w:kern w:val="0"/>
                <w:highlight w:val="yellow"/>
                <w:lang w:eastAsia="zh-CN"/>
              </w:rPr>
              <w:t>时</w:t>
            </w:r>
            <w:r>
              <w:rPr>
                <w:rFonts w:hint="eastAsia" w:ascii="宋体" w:hAnsi="宋体" w:cs="宋体"/>
                <w:kern w:val="0"/>
                <w:highlight w:val="yellow"/>
              </w:rPr>
              <w:t>的</w:t>
            </w:r>
            <w:r>
              <w:rPr>
                <w:rFonts w:hint="eastAsia" w:ascii="宋体" w:hAnsi="宋体" w:cs="宋体"/>
                <w:kern w:val="0"/>
                <w:highlight w:val="yellow"/>
                <w:lang w:eastAsia="zh-CN"/>
              </w:rPr>
              <w:t>同一</w:t>
            </w:r>
            <w:r>
              <w:rPr>
                <w:rFonts w:hint="eastAsia"/>
                <w:color w:val="000000"/>
                <w:sz w:val="22"/>
                <w:highlight w:val="yellow"/>
              </w:rPr>
              <w:t>CA 数字证书</w:t>
            </w:r>
            <w:r>
              <w:rPr>
                <w:rFonts w:hint="eastAsia"/>
                <w:color w:val="000000"/>
                <w:sz w:val="22"/>
                <w:highlight w:val="yellow"/>
                <w:lang w:eastAsia="zh-CN"/>
              </w:rPr>
              <w:t>）</w:t>
            </w:r>
            <w:r>
              <w:rPr>
                <w:rFonts w:hint="eastAsia"/>
                <w:color w:val="000000"/>
                <w:sz w:val="22"/>
                <w:highlight w:val="yellow"/>
              </w:rPr>
              <w:t>在解密倒计时内</w:t>
            </w:r>
            <w:r>
              <w:rPr>
                <w:rFonts w:hint="eastAsia"/>
                <w:b/>
                <w:color w:val="000000"/>
                <w:sz w:val="22"/>
                <w:highlight w:val="yellow"/>
              </w:rPr>
              <w:t>申请</w:t>
            </w:r>
            <w:r>
              <w:rPr>
                <w:rFonts w:hint="eastAsia"/>
                <w:color w:val="000000"/>
                <w:sz w:val="22"/>
                <w:highlight w:val="yellow"/>
              </w:rPr>
              <w:t>解密投标文件；因投标人原因造成投标文件未解密的，视为撤销其投标文件；因投标人之外的原因造成投标文件未解密的，视为撤回其投标文件。部分投标文件未解密的，其他投标文件的开标可以继续进行。</w:t>
            </w:r>
          </w:p>
          <w:p>
            <w:pPr>
              <w:rPr>
                <w:color w:val="000000"/>
                <w:sz w:val="22"/>
                <w:highlight w:val="yellow"/>
              </w:rPr>
            </w:pPr>
            <w:r>
              <w:rPr>
                <w:rFonts w:hint="eastAsia"/>
                <w:color w:val="000000"/>
                <w:sz w:val="22"/>
                <w:highlight w:val="yellow"/>
              </w:rPr>
              <w:t>（</w:t>
            </w:r>
            <w:r>
              <w:rPr>
                <w:rFonts w:hint="eastAsia"/>
                <w:color w:val="000000"/>
                <w:sz w:val="22"/>
                <w:highlight w:val="yellow"/>
                <w:lang w:val="en-US" w:eastAsia="zh-CN"/>
              </w:rPr>
              <w:t>8</w:t>
            </w:r>
            <w:r>
              <w:rPr>
                <w:rFonts w:hint="eastAsia"/>
                <w:color w:val="000000"/>
                <w:sz w:val="22"/>
                <w:highlight w:val="yellow"/>
              </w:rPr>
              <w:t>）按照投标人签到顺序当众开标，</w:t>
            </w:r>
            <w:r>
              <w:rPr>
                <w:rFonts w:hint="eastAsia"/>
                <w:color w:val="000000"/>
                <w:sz w:val="22"/>
                <w:highlight w:val="yellow"/>
                <w:lang w:eastAsia="zh-CN"/>
              </w:rPr>
              <w:t>在线唱标</w:t>
            </w:r>
            <w:r>
              <w:rPr>
                <w:rFonts w:hint="eastAsia"/>
                <w:color w:val="000000"/>
                <w:sz w:val="22"/>
                <w:highlight w:val="yellow"/>
              </w:rPr>
              <w:t>；</w:t>
            </w:r>
          </w:p>
          <w:p>
            <w:pPr>
              <w:rPr>
                <w:color w:val="000000"/>
                <w:sz w:val="22"/>
                <w:highlight w:val="yellow"/>
              </w:rPr>
            </w:pPr>
            <w:r>
              <w:rPr>
                <w:rFonts w:hint="eastAsia"/>
                <w:color w:val="000000"/>
                <w:sz w:val="22"/>
                <w:highlight w:val="yellow"/>
              </w:rPr>
              <w:t>（</w:t>
            </w:r>
            <w:r>
              <w:rPr>
                <w:rFonts w:hint="eastAsia"/>
                <w:color w:val="000000"/>
                <w:sz w:val="22"/>
                <w:highlight w:val="yellow"/>
                <w:lang w:val="en-US" w:eastAsia="zh-CN"/>
              </w:rPr>
              <w:t>9</w:t>
            </w:r>
            <w:r>
              <w:rPr>
                <w:rFonts w:hint="eastAsia"/>
                <w:color w:val="000000"/>
                <w:sz w:val="22"/>
                <w:highlight w:val="yellow"/>
              </w:rPr>
              <w:t>）系统生成开标记录表， 投标人在限定时时间内在线确认开标记录表，同时确认是否需要回避（注：逾期未确认的，视为默认开标结果、不需要回避）；</w:t>
            </w:r>
          </w:p>
          <w:p>
            <w:pPr>
              <w:adjustRightInd w:val="0"/>
              <w:snapToGrid w:val="0"/>
              <w:spacing w:line="300" w:lineRule="auto"/>
              <w:ind w:left="1100" w:hanging="1100" w:hangingChars="500"/>
              <w:rPr>
                <w:rFonts w:ascii="宋体" w:cs="宋体"/>
                <w:highlight w:val="yellow"/>
              </w:rPr>
            </w:pPr>
            <w:r>
              <w:rPr>
                <w:rFonts w:hint="eastAsia"/>
                <w:color w:val="000000"/>
                <w:sz w:val="22"/>
                <w:highlight w:val="yellow"/>
              </w:rPr>
              <w:t>（1</w:t>
            </w:r>
            <w:r>
              <w:rPr>
                <w:rFonts w:hint="eastAsia"/>
                <w:color w:val="000000"/>
                <w:sz w:val="22"/>
                <w:highlight w:val="yellow"/>
                <w:lang w:val="en-US" w:eastAsia="zh-CN"/>
              </w:rPr>
              <w:t>0</w:t>
            </w:r>
            <w:r>
              <w:rPr>
                <w:rFonts w:hint="eastAsia"/>
                <w:color w:val="000000"/>
                <w:sz w:val="22"/>
                <w:highlight w:val="yellow"/>
              </w:rPr>
              <w:t>）</w:t>
            </w:r>
            <w:r>
              <w:rPr>
                <w:color w:val="000000"/>
                <w:highlight w:val="yellow"/>
              </w:rPr>
              <w:t>开标结束。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u w:val="single"/>
              </w:rPr>
            </w:pPr>
            <w:r>
              <w:rPr>
                <w:rFonts w:hint="eastAsia" w:ascii="宋体" w:hAnsi="宋体" w:cs="宋体"/>
                <w:u w:val="single"/>
              </w:rPr>
              <w:t>5.4</w:t>
            </w:r>
          </w:p>
        </w:tc>
        <w:tc>
          <w:tcPr>
            <w:tcW w:w="2410"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开标补救措施</w:t>
            </w:r>
          </w:p>
        </w:tc>
        <w:tc>
          <w:tcPr>
            <w:tcW w:w="6379" w:type="dxa"/>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增加：</w:t>
            </w:r>
          </w:p>
          <w:p>
            <w:pPr>
              <w:adjustRightInd w:val="0"/>
              <w:snapToGrid w:val="0"/>
              <w:spacing w:line="300" w:lineRule="auto"/>
              <w:rPr>
                <w:rFonts w:ascii="宋体" w:hAnsi="宋体" w:cs="宋体"/>
                <w:highlight w:val="yellow"/>
              </w:rPr>
            </w:pPr>
            <w:r>
              <w:rPr>
                <w:rFonts w:hint="eastAsia" w:ascii="宋体" w:hAnsi="宋体" w:cs="宋体"/>
                <w:highlight w:val="yellow"/>
              </w:rPr>
              <w:t>5.4.1 开标过程中因本章第 5.4.2 项、第 5.4.3 项所列原因，导致系统无法正常运行，将采取以下补救措施：在本项目招标公告页面发布中止开标的通知，另行确定开标时间。</w:t>
            </w:r>
          </w:p>
          <w:p>
            <w:pPr>
              <w:adjustRightInd w:val="0"/>
              <w:snapToGrid w:val="0"/>
              <w:spacing w:line="300" w:lineRule="auto"/>
              <w:rPr>
                <w:rFonts w:ascii="宋体" w:hAnsi="宋体" w:cs="宋体"/>
                <w:highlight w:val="yellow"/>
              </w:rPr>
            </w:pPr>
            <w:r>
              <w:rPr>
                <w:rFonts w:hint="eastAsia" w:ascii="宋体" w:hAnsi="宋体" w:cs="宋体"/>
                <w:highlight w:val="yellow"/>
              </w:rPr>
              <w:t>5.4.2 开标前因“电子交易平台”系统故障导致投标人无法正常上传加密的投标文件，投标人应及时联系技术支持。</w:t>
            </w:r>
          </w:p>
          <w:p>
            <w:pPr>
              <w:adjustRightInd w:val="0"/>
              <w:snapToGrid w:val="0"/>
              <w:spacing w:line="300" w:lineRule="auto"/>
              <w:rPr>
                <w:rFonts w:ascii="宋体" w:hAnsi="宋体" w:cs="宋体"/>
                <w:highlight w:val="yellow"/>
              </w:rPr>
            </w:pPr>
            <w:r>
              <w:rPr>
                <w:rFonts w:hint="eastAsia" w:ascii="宋体" w:hAnsi="宋体" w:cs="宋体"/>
                <w:highlight w:val="yellow"/>
              </w:rPr>
              <w:t>5.4.3 当出现以下情况时，应对未开标的中止电子开标，并在恢复正常后及时安排时间开标：</w:t>
            </w:r>
          </w:p>
          <w:p>
            <w:pPr>
              <w:adjustRightInd w:val="0"/>
              <w:snapToGrid w:val="0"/>
              <w:spacing w:line="300" w:lineRule="auto"/>
              <w:rPr>
                <w:rFonts w:ascii="宋体" w:hAnsi="宋体" w:cs="宋体"/>
                <w:highlight w:val="yellow"/>
              </w:rPr>
            </w:pPr>
            <w:r>
              <w:rPr>
                <w:rFonts w:hint="eastAsia" w:ascii="宋体" w:hAnsi="宋体" w:cs="宋体"/>
                <w:highlight w:val="yellow"/>
              </w:rPr>
              <w:t xml:space="preserve">（ 1）系统服务器发生故障，无法访问或无法使用系统； </w:t>
            </w:r>
          </w:p>
          <w:p>
            <w:pPr>
              <w:adjustRightInd w:val="0"/>
              <w:snapToGrid w:val="0"/>
              <w:spacing w:line="300" w:lineRule="auto"/>
              <w:rPr>
                <w:rFonts w:ascii="宋体" w:hAnsi="宋体" w:cs="宋体"/>
                <w:highlight w:val="yellow"/>
              </w:rPr>
            </w:pPr>
            <w:r>
              <w:rPr>
                <w:rFonts w:hint="eastAsia" w:ascii="宋体" w:hAnsi="宋体" w:cs="宋体"/>
                <w:highlight w:val="yellow"/>
              </w:rPr>
              <w:t xml:space="preserve">（ 2）系统的软件或数据库出现错误，不能进行正常操作； </w:t>
            </w:r>
          </w:p>
          <w:p>
            <w:pPr>
              <w:adjustRightInd w:val="0"/>
              <w:snapToGrid w:val="0"/>
              <w:spacing w:line="300" w:lineRule="auto"/>
              <w:rPr>
                <w:rFonts w:ascii="宋体" w:hAnsi="宋体" w:cs="宋体"/>
                <w:highlight w:val="yellow"/>
              </w:rPr>
            </w:pPr>
            <w:r>
              <w:rPr>
                <w:rFonts w:hint="eastAsia" w:ascii="宋体" w:hAnsi="宋体" w:cs="宋体"/>
                <w:highlight w:val="yellow"/>
              </w:rPr>
              <w:t xml:space="preserve">（ 3）系统发现有安全漏洞，有潜在的泄密危险； </w:t>
            </w:r>
          </w:p>
          <w:p>
            <w:pPr>
              <w:adjustRightInd w:val="0"/>
              <w:snapToGrid w:val="0"/>
              <w:spacing w:line="300" w:lineRule="auto"/>
              <w:rPr>
                <w:rFonts w:ascii="宋体" w:hAnsi="宋体" w:cs="宋体"/>
                <w:highlight w:val="yellow"/>
              </w:rPr>
            </w:pPr>
            <w:r>
              <w:rPr>
                <w:rFonts w:hint="eastAsia" w:ascii="宋体" w:hAnsi="宋体" w:cs="宋体"/>
                <w:highlight w:val="yellow"/>
              </w:rPr>
              <w:t>（ 4）出现断电事故且短时间内无法恢复供电；</w:t>
            </w:r>
          </w:p>
          <w:p>
            <w:pPr>
              <w:adjustRightInd w:val="0"/>
              <w:snapToGrid w:val="0"/>
              <w:spacing w:line="300" w:lineRule="auto"/>
              <w:rPr>
                <w:rFonts w:ascii="宋体" w:hAnsi="宋体" w:cs="宋体"/>
                <w:highlight w:val="yellow"/>
              </w:rPr>
            </w:pPr>
            <w:r>
              <w:rPr>
                <w:rFonts w:hint="eastAsia" w:ascii="宋体" w:hAnsi="宋体" w:cs="宋体"/>
                <w:highlight w:val="yellow"/>
              </w:rPr>
              <w:t>（ 5）其他无法保证招投标过程正常进行的情形。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u w:val="single"/>
              </w:rPr>
            </w:pPr>
            <w:r>
              <w:rPr>
                <w:rFonts w:hint="eastAsia" w:ascii="宋体" w:hAnsi="宋体" w:cs="宋体"/>
                <w:highlight w:val="none"/>
                <w:u w:val="single"/>
              </w:rPr>
              <w:t>6.3.3</w:t>
            </w:r>
          </w:p>
        </w:tc>
        <w:tc>
          <w:tcPr>
            <w:tcW w:w="2410" w:type="dxa"/>
            <w:vAlign w:val="center"/>
          </w:tcPr>
          <w:p>
            <w:pPr>
              <w:adjustRightInd w:val="0"/>
              <w:snapToGrid w:val="0"/>
              <w:spacing w:line="300" w:lineRule="auto"/>
              <w:ind w:right="-107" w:rightChars="-51"/>
              <w:jc w:val="center"/>
              <w:rPr>
                <w:rFonts w:ascii="宋体" w:hAnsi="宋体" w:cs="宋体"/>
                <w:highlight w:val="yellow"/>
              </w:rPr>
            </w:pPr>
            <w:r>
              <w:rPr>
                <w:rFonts w:hint="eastAsia"/>
                <w:color w:val="000000"/>
                <w:highlight w:val="yellow"/>
              </w:rPr>
              <w:t>评标及补救措施</w:t>
            </w:r>
          </w:p>
        </w:tc>
        <w:tc>
          <w:tcPr>
            <w:tcW w:w="6379" w:type="dxa"/>
            <w:vAlign w:val="center"/>
          </w:tcPr>
          <w:p>
            <w:pPr>
              <w:rPr>
                <w:color w:val="000000"/>
                <w:highlight w:val="yellow"/>
              </w:rPr>
            </w:pPr>
            <w:r>
              <w:rPr>
                <w:rFonts w:hint="eastAsia"/>
                <w:color w:val="000000"/>
                <w:highlight w:val="yellow"/>
              </w:rPr>
              <w:t>增加：</w:t>
            </w:r>
          </w:p>
          <w:p>
            <w:pPr>
              <w:rPr>
                <w:highlight w:val="yellow"/>
              </w:rPr>
            </w:pPr>
            <w:r>
              <w:rPr>
                <w:rFonts w:hint="eastAsia"/>
                <w:color w:val="000000"/>
                <w:highlight w:val="yellow"/>
              </w:rPr>
              <w:t>评标委员会按照本章第 6.3.1 项的规定在电子评标系统上开展评审工作。如果评 标过程中出现异常情况，导致无法继续评审工作的，可暂停评标，对原有资料及信 息作出妥善保密处理，待电子评标系统恢复正常之后， 应重新组织评审。</w:t>
            </w:r>
          </w:p>
          <w:p>
            <w:pPr>
              <w:adjustRightInd w:val="0"/>
              <w:snapToGrid w:val="0"/>
              <w:spacing w:line="300" w:lineRule="auto"/>
              <w:jc w:val="left"/>
              <w:rPr>
                <w:rFonts w:ascii="宋体" w:hAnsi="宋体" w:cs="宋体"/>
                <w:bCs/>
                <w:kern w:val="0"/>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u w:val="single"/>
              </w:rPr>
            </w:pPr>
            <w:r>
              <w:rPr>
                <w:rFonts w:ascii="宋体" w:hAnsi="宋体" w:cs="宋体"/>
                <w:u w:val="single"/>
              </w:rPr>
              <w:t>7.1</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中标候选人公示媒介及期限</w:t>
            </w:r>
          </w:p>
        </w:tc>
        <w:tc>
          <w:tcPr>
            <w:tcW w:w="6379" w:type="dxa"/>
            <w:vAlign w:val="center"/>
          </w:tcPr>
          <w:p>
            <w:pPr>
              <w:adjustRightInd w:val="0"/>
              <w:snapToGrid w:val="0"/>
              <w:spacing w:line="300" w:lineRule="auto"/>
              <w:jc w:val="left"/>
              <w:rPr>
                <w:rFonts w:ascii="宋体" w:hAnsi="宋体" w:cs="宋体"/>
                <w:bCs/>
                <w:kern w:val="0"/>
                <w:highlight w:val="yellow"/>
              </w:rPr>
            </w:pPr>
            <w:r>
              <w:rPr>
                <w:rFonts w:hint="eastAsia" w:ascii="宋体" w:hAnsi="宋体" w:cs="宋体"/>
                <w:bCs/>
                <w:kern w:val="0"/>
                <w:highlight w:val="yellow"/>
              </w:rPr>
              <w:t>公示媒介：全国公共资源交易平台（山东省青岛市）青岛市公共资源交易电子服务系统（http://ggzy.qingdao.gov.cn）</w:t>
            </w:r>
          </w:p>
          <w:p>
            <w:pPr>
              <w:adjustRightInd w:val="0"/>
              <w:snapToGrid w:val="0"/>
              <w:spacing w:line="300" w:lineRule="auto"/>
              <w:jc w:val="left"/>
              <w:rPr>
                <w:rFonts w:ascii="宋体" w:hAnsi="宋体" w:cs="宋体"/>
                <w:bCs/>
                <w:kern w:val="0"/>
                <w:highlight w:val="yellow"/>
              </w:rPr>
            </w:pPr>
            <w:r>
              <w:rPr>
                <w:rFonts w:hint="eastAsia" w:ascii="宋体" w:hAnsi="宋体" w:cs="宋体"/>
                <w:bCs/>
                <w:kern w:val="0"/>
                <w:highlight w:val="yellow"/>
              </w:rPr>
              <w:t>公示期限：3 个工作日</w:t>
            </w:r>
          </w:p>
          <w:p>
            <w:pPr>
              <w:adjustRightInd w:val="0"/>
              <w:snapToGrid w:val="0"/>
              <w:spacing w:line="300" w:lineRule="auto"/>
              <w:jc w:val="left"/>
              <w:rPr>
                <w:rFonts w:ascii="宋体" w:cs="宋体"/>
                <w:b/>
                <w:kern w:val="0"/>
                <w:highlight w:val="yellow"/>
              </w:rPr>
            </w:pPr>
            <w:r>
              <w:rPr>
                <w:rFonts w:hint="eastAsia" w:ascii="宋体" w:hAnsi="宋体" w:cs="宋体"/>
                <w:bCs/>
                <w:kern w:val="0"/>
                <w:highlight w:val="yellow"/>
              </w:rPr>
              <w:t>公示的其他内容：按《招标公告和公示信息发布管理办法》、《公路工程建设项目招标投标管理办法》规定执行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u w:val="single"/>
              </w:rPr>
            </w:pPr>
            <w:r>
              <w:rPr>
                <w:rFonts w:ascii="宋体" w:hAnsi="宋体" w:cs="宋体"/>
                <w:szCs w:val="21"/>
                <w:u w:val="single"/>
              </w:rPr>
              <w:t>7.5</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中标通知书和中标结果通知发出的形式</w:t>
            </w:r>
          </w:p>
        </w:tc>
        <w:tc>
          <w:tcPr>
            <w:tcW w:w="6379" w:type="dxa"/>
            <w:vAlign w:val="center"/>
          </w:tcPr>
          <w:p>
            <w:pPr>
              <w:adjustRightInd w:val="0"/>
              <w:snapToGrid w:val="0"/>
              <w:spacing w:line="300" w:lineRule="auto"/>
              <w:rPr>
                <w:rFonts w:ascii="宋体" w:hAnsi="宋体" w:cs="宋体"/>
                <w:szCs w:val="21"/>
                <w:highlight w:val="yellow"/>
              </w:rPr>
            </w:pPr>
            <w:r>
              <w:rPr>
                <w:rFonts w:hint="eastAsia" w:ascii="宋体" w:hAnsi="宋体" w:cs="宋体"/>
                <w:szCs w:val="21"/>
                <w:highlight w:val="yellow"/>
              </w:rPr>
              <w:t>中标通知书：书面形式</w:t>
            </w:r>
          </w:p>
          <w:p>
            <w:pPr>
              <w:adjustRightInd w:val="0"/>
              <w:snapToGrid w:val="0"/>
              <w:spacing w:line="300" w:lineRule="auto"/>
              <w:rPr>
                <w:rFonts w:ascii="宋体" w:cs="宋体"/>
                <w:szCs w:val="21"/>
                <w:highlight w:val="yellow"/>
              </w:rPr>
            </w:pPr>
            <w:r>
              <w:rPr>
                <w:rFonts w:hint="eastAsia" w:ascii="宋体" w:hAnsi="宋体" w:cs="宋体"/>
                <w:szCs w:val="21"/>
                <w:highlight w:val="yellow"/>
              </w:rPr>
              <w:t>中标结果通知：网站公告形式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u w:val="single"/>
              </w:rPr>
            </w:pPr>
            <w:r>
              <w:rPr>
                <w:rFonts w:ascii="宋体" w:hAnsi="宋体" w:cs="宋体"/>
                <w:u w:val="single"/>
              </w:rPr>
              <w:t>7.6</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中标结果公告媒介及期限</w:t>
            </w:r>
          </w:p>
        </w:tc>
        <w:tc>
          <w:tcPr>
            <w:tcW w:w="6379" w:type="dxa"/>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公告媒介：全国公共资源交易平台（山东省青岛市）青岛市公共资源交易电子服务系统（http://ggzy.qingdao.gov.cn）</w:t>
            </w:r>
          </w:p>
          <w:p>
            <w:pPr>
              <w:adjustRightInd w:val="0"/>
              <w:snapToGrid w:val="0"/>
              <w:spacing w:line="300" w:lineRule="auto"/>
              <w:rPr>
                <w:rFonts w:ascii="宋体" w:cs="宋体"/>
                <w:highlight w:val="yellow"/>
              </w:rPr>
            </w:pPr>
            <w:r>
              <w:rPr>
                <w:rFonts w:hint="eastAsia" w:ascii="宋体" w:hAnsi="宋体" w:cs="宋体"/>
                <w:highlight w:val="yellow"/>
              </w:rPr>
              <w:t>公告期限：3 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u w:val="single"/>
              </w:rPr>
            </w:pPr>
            <w:r>
              <w:rPr>
                <w:rFonts w:ascii="宋体" w:hAnsi="宋体" w:cs="宋体"/>
                <w:u w:val="single"/>
              </w:rPr>
              <w:t>8.5.1</w:t>
            </w:r>
          </w:p>
        </w:tc>
        <w:tc>
          <w:tcPr>
            <w:tcW w:w="2410" w:type="dxa"/>
            <w:vAlign w:val="center"/>
          </w:tcPr>
          <w:p>
            <w:pPr>
              <w:adjustRightInd w:val="0"/>
              <w:snapToGrid w:val="0"/>
              <w:spacing w:line="300" w:lineRule="auto"/>
              <w:ind w:right="-107" w:rightChars="-51"/>
              <w:jc w:val="center"/>
              <w:rPr>
                <w:rFonts w:ascii="宋体"/>
                <w:szCs w:val="21"/>
                <w:highlight w:val="none"/>
              </w:rPr>
            </w:pPr>
            <w:r>
              <w:rPr>
                <w:rFonts w:hint="eastAsia" w:ascii="宋体" w:hAnsi="宋体"/>
                <w:szCs w:val="21"/>
                <w:highlight w:val="none"/>
              </w:rPr>
              <w:t>监督部门</w:t>
            </w:r>
          </w:p>
        </w:tc>
        <w:tc>
          <w:tcPr>
            <w:tcW w:w="6379" w:type="dxa"/>
            <w:vAlign w:val="center"/>
          </w:tcPr>
          <w:p>
            <w:pPr>
              <w:adjustRightInd w:val="0"/>
              <w:snapToGrid w:val="0"/>
              <w:spacing w:line="300" w:lineRule="auto"/>
              <w:rPr>
                <w:highlight w:val="none"/>
                <w:u w:val="single"/>
              </w:rPr>
            </w:pPr>
            <w:r>
              <w:rPr>
                <w:highlight w:val="none"/>
              </w:rPr>
              <w:t>监督</w:t>
            </w:r>
            <w:r>
              <w:rPr>
                <w:spacing w:val="-3"/>
                <w:highlight w:val="none"/>
              </w:rPr>
              <w:t>部</w:t>
            </w:r>
            <w:r>
              <w:rPr>
                <w:highlight w:val="none"/>
              </w:rPr>
              <w:t>门</w:t>
            </w:r>
            <w:r>
              <w:rPr>
                <w:spacing w:val="-3"/>
                <w:highlight w:val="none"/>
              </w:rPr>
              <w:t>：</w:t>
            </w:r>
            <w:r>
              <w:rPr>
                <w:spacing w:val="-3"/>
                <w:highlight w:val="none"/>
                <w:u w:val="single"/>
              </w:rPr>
              <w:tab/>
            </w:r>
            <w:r>
              <w:rPr>
                <w:highlight w:val="none"/>
                <w:u w:val="single"/>
              </w:rPr>
              <w:t xml:space="preserve">         </w:t>
            </w:r>
          </w:p>
          <w:p>
            <w:pPr>
              <w:adjustRightInd w:val="0"/>
              <w:snapToGrid w:val="0"/>
              <w:spacing w:line="300" w:lineRule="auto"/>
              <w:rPr>
                <w:rFonts w:eastAsiaTheme="minorEastAsia"/>
                <w:highlight w:val="none"/>
                <w:u w:val="single"/>
              </w:rPr>
            </w:pPr>
            <w:r>
              <w:rPr>
                <w:highlight w:val="none"/>
              </w:rPr>
              <w:t xml:space="preserve">地   </w:t>
            </w:r>
            <w:r>
              <w:rPr>
                <w:spacing w:val="1"/>
                <w:highlight w:val="none"/>
              </w:rPr>
              <w:t xml:space="preserve"> </w:t>
            </w:r>
            <w:r>
              <w:rPr>
                <w:highlight w:val="none"/>
              </w:rPr>
              <w:t>址：</w:t>
            </w:r>
            <w:r>
              <w:rPr>
                <w:rFonts w:eastAsia="Times New Roman"/>
                <w:highlight w:val="none"/>
                <w:u w:val="single"/>
              </w:rPr>
              <w:t xml:space="preserve"> </w:t>
            </w:r>
            <w:r>
              <w:rPr>
                <w:rFonts w:eastAsia="Times New Roman"/>
                <w:highlight w:val="none"/>
                <w:u w:val="single"/>
              </w:rPr>
              <w:tab/>
            </w:r>
            <w:r>
              <w:rPr>
                <w:rFonts w:eastAsia="Times New Roman"/>
                <w:highlight w:val="none"/>
                <w:u w:val="single"/>
              </w:rPr>
              <w:t xml:space="preserve">           </w:t>
            </w:r>
          </w:p>
          <w:p>
            <w:pPr>
              <w:adjustRightInd w:val="0"/>
              <w:snapToGrid w:val="0"/>
              <w:spacing w:line="300" w:lineRule="auto"/>
              <w:rPr>
                <w:rFonts w:eastAsiaTheme="minorEastAsia"/>
                <w:highlight w:val="none"/>
                <w:u w:val="single"/>
              </w:rPr>
            </w:pPr>
            <w:r>
              <w:rPr>
                <w:highlight w:val="none"/>
              </w:rPr>
              <w:t xml:space="preserve">电   </w:t>
            </w:r>
            <w:r>
              <w:rPr>
                <w:spacing w:val="1"/>
                <w:highlight w:val="none"/>
              </w:rPr>
              <w:t xml:space="preserve"> </w:t>
            </w:r>
            <w:r>
              <w:rPr>
                <w:highlight w:val="none"/>
              </w:rPr>
              <w:t>话：</w:t>
            </w:r>
            <w:r>
              <w:rPr>
                <w:rFonts w:eastAsia="Times New Roman"/>
                <w:highlight w:val="none"/>
                <w:u w:val="single"/>
              </w:rPr>
              <w:t xml:space="preserve"> </w:t>
            </w:r>
            <w:r>
              <w:rPr>
                <w:rFonts w:eastAsia="Times New Roman"/>
                <w:highlight w:val="none"/>
                <w:u w:val="single"/>
              </w:rPr>
              <w:tab/>
            </w:r>
            <w:r>
              <w:rPr>
                <w:rFonts w:eastAsia="Times New Roman"/>
                <w:highlight w:val="none"/>
                <w:u w:val="single"/>
              </w:rPr>
              <w:t xml:space="preserve">           </w:t>
            </w:r>
          </w:p>
          <w:p>
            <w:pPr>
              <w:adjustRightInd w:val="0"/>
              <w:snapToGrid w:val="0"/>
              <w:spacing w:line="300" w:lineRule="auto"/>
              <w:rPr>
                <w:rFonts w:eastAsiaTheme="minorEastAsia"/>
                <w:highlight w:val="none"/>
                <w:u w:val="single"/>
              </w:rPr>
            </w:pPr>
            <w:r>
              <w:rPr>
                <w:highlight w:val="none"/>
              </w:rPr>
              <w:t xml:space="preserve">传   </w:t>
            </w:r>
            <w:r>
              <w:rPr>
                <w:spacing w:val="1"/>
                <w:highlight w:val="none"/>
              </w:rPr>
              <w:t xml:space="preserve"> </w:t>
            </w:r>
            <w:r>
              <w:rPr>
                <w:highlight w:val="none"/>
              </w:rPr>
              <w:t>真：</w:t>
            </w:r>
            <w:r>
              <w:rPr>
                <w:rFonts w:eastAsia="Times New Roman"/>
                <w:highlight w:val="none"/>
                <w:u w:val="single"/>
              </w:rPr>
              <w:t xml:space="preserve"> </w:t>
            </w:r>
            <w:r>
              <w:rPr>
                <w:rFonts w:eastAsia="Times New Roman"/>
                <w:highlight w:val="none"/>
                <w:u w:val="single"/>
              </w:rPr>
              <w:tab/>
            </w:r>
            <w:r>
              <w:rPr>
                <w:rFonts w:eastAsia="Times New Roman"/>
                <w:highlight w:val="none"/>
                <w:u w:val="single"/>
              </w:rPr>
              <w:t xml:space="preserve">           </w:t>
            </w:r>
          </w:p>
          <w:p>
            <w:pPr>
              <w:adjustRightInd w:val="0"/>
              <w:snapToGrid w:val="0"/>
              <w:spacing w:line="300" w:lineRule="auto"/>
              <w:rPr>
                <w:szCs w:val="21"/>
                <w:highlight w:val="none"/>
              </w:rPr>
            </w:pPr>
            <w:r>
              <w:rPr>
                <w:highlight w:val="none"/>
              </w:rPr>
              <w:t>邮政</w:t>
            </w:r>
            <w:r>
              <w:rPr>
                <w:spacing w:val="-3"/>
                <w:highlight w:val="none"/>
              </w:rPr>
              <w:t>编</w:t>
            </w:r>
            <w:r>
              <w:rPr>
                <w:highlight w:val="none"/>
              </w:rPr>
              <w:t>码</w:t>
            </w:r>
            <w:r>
              <w:rPr>
                <w:spacing w:val="-3"/>
                <w:highlight w:val="none"/>
              </w:rPr>
              <w:t>：</w:t>
            </w:r>
            <w:r>
              <w:rPr>
                <w:rFonts w:eastAsia="Times New Roman"/>
                <w:highlight w:val="none"/>
                <w:u w:val="single"/>
              </w:rPr>
              <w:tab/>
            </w:r>
            <w:r>
              <w:rPr>
                <w:rFonts w:eastAsia="Times New Roman"/>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u w:val="single"/>
              </w:rPr>
            </w:pPr>
            <w:r>
              <w:rPr>
                <w:rFonts w:ascii="宋体" w:hAnsi="宋体" w:cs="宋体"/>
                <w:u w:val="single"/>
              </w:rPr>
              <w:t>9</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是否采用电子招标投标</w:t>
            </w:r>
          </w:p>
        </w:tc>
        <w:tc>
          <w:tcPr>
            <w:tcW w:w="6379" w:type="dxa"/>
            <w:vAlign w:val="center"/>
          </w:tcPr>
          <w:p>
            <w:pPr>
              <w:adjustRightInd w:val="0"/>
              <w:snapToGrid w:val="0"/>
              <w:spacing w:line="300" w:lineRule="auto"/>
              <w:rPr>
                <w:rFonts w:ascii="宋体" w:cs="宋体"/>
                <w:highlight w:val="yellow"/>
              </w:rPr>
            </w:pPr>
            <w:r>
              <w:rPr>
                <w:rFonts w:hint="eastAsia" w:ascii="宋体" w:hAnsi="宋体" w:cs="宋体"/>
                <w:kern w:val="0"/>
                <w:highlight w:val="yellow"/>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782" w:type="dxa"/>
            <w:gridSpan w:val="3"/>
            <w:vAlign w:val="center"/>
          </w:tcPr>
          <w:p>
            <w:pPr>
              <w:adjustRightInd w:val="0"/>
              <w:snapToGrid w:val="0"/>
              <w:spacing w:line="300" w:lineRule="auto"/>
              <w:rPr>
                <w:rFonts w:ascii="宋体" w:hAnsi="宋体" w:cs="宋体"/>
                <w:kern w:val="0"/>
                <w:u w:val="single"/>
              </w:rPr>
            </w:pPr>
            <w:r>
              <w:rPr>
                <w:rFonts w:hint="eastAsia" w:ascii="黑体" w:eastAsia="黑体"/>
                <w:szCs w:val="21"/>
                <w:u w:val="singl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none"/>
                <w:u w:val="single"/>
              </w:rPr>
            </w:pPr>
            <w:r>
              <w:rPr>
                <w:rFonts w:hint="eastAsia" w:ascii="宋体" w:hAnsi="宋体" w:cs="宋体"/>
                <w:highlight w:val="none"/>
                <w:u w:val="single"/>
              </w:rPr>
              <w:t>10.1</w:t>
            </w:r>
          </w:p>
        </w:tc>
        <w:tc>
          <w:tcPr>
            <w:tcW w:w="8789" w:type="dxa"/>
            <w:gridSpan w:val="2"/>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原条款修改为：</w:t>
            </w:r>
          </w:p>
          <w:p>
            <w:pPr>
              <w:adjustRightInd w:val="0"/>
              <w:snapToGrid w:val="0"/>
              <w:spacing w:line="300" w:lineRule="auto"/>
              <w:rPr>
                <w:rFonts w:ascii="宋体" w:hAnsi="宋体" w:cs="宋体"/>
                <w:highlight w:val="yellow"/>
              </w:rPr>
            </w:pPr>
            <w:r>
              <w:rPr>
                <w:rFonts w:hint="eastAsia" w:ascii="宋体" w:hAnsi="宋体" w:cs="宋体"/>
                <w:highlight w:val="yellow"/>
              </w:rPr>
              <w:t>招标文件的澄清、修改、补充均在全国公共资源交易平台（山东省青岛市）青岛市公共资源交</w:t>
            </w:r>
          </w:p>
          <w:p>
            <w:pPr>
              <w:adjustRightInd w:val="0"/>
              <w:snapToGrid w:val="0"/>
              <w:spacing w:line="300" w:lineRule="auto"/>
              <w:rPr>
                <w:rFonts w:ascii="宋体" w:hAnsi="宋体" w:cs="宋体"/>
                <w:highlight w:val="yellow"/>
              </w:rPr>
            </w:pPr>
            <w:r>
              <w:rPr>
                <w:rFonts w:hint="eastAsia" w:ascii="宋体" w:hAnsi="宋体" w:cs="宋体"/>
                <w:highlight w:val="yellow"/>
              </w:rPr>
              <w:t>易电子服务系统本项目公告页面发布，投标人应密切关注全国公共资源交易平台（山东省青岛</w:t>
            </w:r>
          </w:p>
          <w:p>
            <w:pPr>
              <w:adjustRightInd w:val="0"/>
              <w:snapToGrid w:val="0"/>
              <w:spacing w:line="300" w:lineRule="auto"/>
              <w:rPr>
                <w:rFonts w:ascii="宋体" w:hAnsi="宋体" w:cs="宋体"/>
                <w:highlight w:val="yellow"/>
              </w:rPr>
            </w:pPr>
            <w:r>
              <w:rPr>
                <w:rFonts w:hint="eastAsia" w:ascii="宋体" w:hAnsi="宋体" w:cs="宋体"/>
                <w:highlight w:val="yellow"/>
              </w:rPr>
              <w:t>市）青岛市公共资源交易电子服务系统本项目公告页面的最新信息。信息一经公布，视为所有</w:t>
            </w:r>
          </w:p>
          <w:p>
            <w:pPr>
              <w:adjustRightInd w:val="0"/>
              <w:snapToGrid w:val="0"/>
              <w:spacing w:line="300" w:lineRule="auto"/>
              <w:rPr>
                <w:rFonts w:ascii="宋体" w:hAnsi="宋体" w:cs="宋体"/>
                <w:highlight w:val="yellow"/>
              </w:rPr>
            </w:pPr>
            <w:r>
              <w:rPr>
                <w:rFonts w:hint="eastAsia" w:ascii="宋体" w:hAnsi="宋体" w:cs="宋体"/>
                <w:highlight w:val="yellow"/>
              </w:rPr>
              <w:t>潜在投标人已经收到；未及时查看最新信息所引发的一切后果由潜在投标人自行承担。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none"/>
                <w:u w:val="single"/>
              </w:rPr>
            </w:pPr>
            <w:r>
              <w:rPr>
                <w:rFonts w:hint="eastAsia" w:ascii="宋体" w:hAnsi="宋体" w:cs="宋体"/>
                <w:highlight w:val="none"/>
                <w:u w:val="single"/>
              </w:rPr>
              <w:t>10.2</w:t>
            </w:r>
          </w:p>
        </w:tc>
        <w:tc>
          <w:tcPr>
            <w:tcW w:w="8789" w:type="dxa"/>
            <w:gridSpan w:val="2"/>
            <w:vAlign w:val="center"/>
          </w:tcPr>
          <w:p>
            <w:pPr>
              <w:adjustRightInd w:val="0"/>
              <w:snapToGrid w:val="0"/>
              <w:spacing w:line="300" w:lineRule="auto"/>
              <w:rPr>
                <w:rFonts w:ascii="宋体" w:hAnsi="宋体" w:cs="宋体"/>
                <w:highlight w:val="yellow"/>
              </w:rPr>
            </w:pPr>
            <w:r>
              <w:rPr>
                <w:rFonts w:hint="eastAsia" w:ascii="宋体" w:hAnsi="宋体" w:cs="宋体"/>
                <w:b/>
                <w:highlight w:val="yellow"/>
              </w:rPr>
              <w:t>本项目为电子招标投标，支持网上远程开标，投标人无需到现场参加开标会</w:t>
            </w:r>
            <w:r>
              <w:rPr>
                <w:rFonts w:hint="eastAsia" w:ascii="宋体" w:hAnsi="宋体" w:cs="宋体"/>
                <w:bCs/>
                <w:highlight w:val="yello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none"/>
                <w:u w:val="single"/>
              </w:rPr>
            </w:pPr>
            <w:r>
              <w:rPr>
                <w:rFonts w:hint="eastAsia" w:ascii="宋体" w:hAnsi="宋体" w:cs="宋体"/>
                <w:highlight w:val="none"/>
                <w:u w:val="single"/>
              </w:rPr>
              <w:t>10.3</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投标文件中的基本账户信息与基本账户开户许可证等效。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color w:val="FF0000"/>
                <w:highlight w:val="none"/>
                <w:u w:val="single"/>
              </w:rPr>
            </w:pPr>
            <w:r>
              <w:rPr>
                <w:rFonts w:hint="eastAsia" w:ascii="宋体" w:hAnsi="宋体" w:cs="宋体"/>
                <w:color w:val="FF0000"/>
                <w:highlight w:val="none"/>
                <w:u w:val="single"/>
              </w:rPr>
              <w:t>10.4</w:t>
            </w:r>
          </w:p>
        </w:tc>
        <w:tc>
          <w:tcPr>
            <w:tcW w:w="8789" w:type="dxa"/>
            <w:gridSpan w:val="2"/>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潜在投标人的</w:t>
            </w:r>
            <w:r>
              <w:rPr>
                <w:rFonts w:hint="eastAsia" w:ascii="宋体" w:hAnsi="宋体" w:cs="宋体"/>
                <w:color w:val="auto"/>
                <w:kern w:val="0"/>
                <w:sz w:val="21"/>
                <w:szCs w:val="21"/>
                <w:lang w:val="en-US" w:eastAsia="zh-CN" w:bidi="ar"/>
              </w:rPr>
              <w:t>资质、</w:t>
            </w:r>
            <w:r>
              <w:rPr>
                <w:rFonts w:hint="eastAsia" w:ascii="宋体" w:hAnsi="宋体" w:eastAsia="宋体" w:cs="宋体"/>
                <w:color w:val="auto"/>
                <w:kern w:val="0"/>
                <w:sz w:val="21"/>
                <w:szCs w:val="21"/>
                <w:lang w:val="en-US" w:eastAsia="zh-CN" w:bidi="ar"/>
              </w:rPr>
              <w:t>业绩、荣誉（获奖）</w:t>
            </w:r>
            <w:r>
              <w:rPr>
                <w:rFonts w:hint="eastAsia" w:ascii="宋体" w:hAnsi="宋体" w:cs="宋体"/>
                <w:color w:val="auto"/>
                <w:kern w:val="0"/>
                <w:sz w:val="21"/>
                <w:szCs w:val="21"/>
                <w:lang w:val="en-US" w:eastAsia="zh-CN" w:bidi="ar"/>
              </w:rPr>
              <w:t>、主要人员</w:t>
            </w:r>
            <w:r>
              <w:rPr>
                <w:rFonts w:hint="eastAsia" w:ascii="宋体" w:hAnsi="宋体" w:eastAsia="宋体" w:cs="宋体"/>
                <w:color w:val="000000"/>
                <w:kern w:val="0"/>
                <w:sz w:val="21"/>
                <w:szCs w:val="21"/>
                <w:lang w:val="en-US" w:eastAsia="zh-CN" w:bidi="ar"/>
              </w:rPr>
              <w:t>及相关附件须在青岛市公共资源交易电子服务系统上传并公示，且制作投标文件时上述材料需通过该系统选取，否则在电子评标时不予认可。</w:t>
            </w:r>
          </w:p>
          <w:p>
            <w:pPr>
              <w:adjustRightInd w:val="0"/>
              <w:snapToGrid w:val="0"/>
              <w:spacing w:line="300" w:lineRule="auto"/>
              <w:rPr>
                <w:rFonts w:ascii="宋体" w:hAnsi="宋体" w:cs="宋体"/>
                <w:color w:val="FF0000"/>
                <w:kern w:val="0"/>
                <w:szCs w:val="21"/>
                <w:highlight w:val="cy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hint="eastAsia" w:ascii="宋体" w:hAnsi="宋体" w:eastAsia="宋体" w:cs="宋体"/>
                <w:highlight w:val="none"/>
                <w:u w:val="single"/>
                <w:lang w:val="en-US" w:eastAsia="zh-CN"/>
              </w:rPr>
            </w:pPr>
            <w:r>
              <w:rPr>
                <w:rFonts w:hint="eastAsia" w:ascii="宋体" w:hAnsi="宋体" w:cs="宋体"/>
                <w:highlight w:val="none"/>
                <w:u w:val="single"/>
              </w:rPr>
              <w:t>10.</w:t>
            </w:r>
            <w:r>
              <w:rPr>
                <w:rFonts w:hint="eastAsia" w:ascii="宋体" w:hAnsi="宋体" w:cs="宋体"/>
                <w:highlight w:val="none"/>
                <w:u w:val="single"/>
                <w:lang w:val="en-US" w:eastAsia="zh-CN"/>
              </w:rPr>
              <w:t>5</w:t>
            </w:r>
          </w:p>
        </w:tc>
        <w:tc>
          <w:tcPr>
            <w:tcW w:w="8789" w:type="dxa"/>
            <w:gridSpan w:val="2"/>
            <w:vAlign w:val="center"/>
          </w:tcPr>
          <w:p>
            <w:pPr>
              <w:pStyle w:val="34"/>
              <w:keepNext w:val="0"/>
              <w:keepLines w:val="0"/>
              <w:widowControl/>
              <w:suppressLineNumbers w:val="0"/>
              <w:spacing w:before="0" w:beforeAutospacing="0" w:after="150" w:afterAutospacing="0" w:line="26" w:lineRule="atLeast"/>
              <w:ind w:right="0"/>
              <w:jc w:val="left"/>
              <w:rPr>
                <w:rFonts w:hint="eastAsia" w:ascii="宋体" w:hAnsi="宋体" w:cs="宋体"/>
                <w:b/>
                <w:kern w:val="0"/>
                <w:szCs w:val="21"/>
                <w:highlight w:val="yellow"/>
                <w:lang w:val="en-US" w:eastAsia="zh-CN"/>
              </w:rPr>
            </w:pPr>
            <w:r>
              <w:rPr>
                <w:rFonts w:hint="default" w:ascii="宋体" w:hAnsi="宋体" w:cs="宋体"/>
                <w:b/>
                <w:kern w:val="0"/>
                <w:szCs w:val="21"/>
                <w:highlight w:val="yellow"/>
              </w:rPr>
              <w:t>投标人在投标过程中有下列情形之一的，视为投标人相互串通投标：1.不同投标人的电子投标文件由同一台电脑编制的；2.不同投标人的投标报价计价软件编码相同的</w:t>
            </w:r>
            <w:r>
              <w:rPr>
                <w:rFonts w:hint="eastAsia" w:ascii="宋体" w:hAnsi="宋体" w:cs="宋体"/>
                <w:b/>
                <w:kern w:val="0"/>
                <w:szCs w:val="21"/>
                <w:highlight w:val="yellow"/>
                <w:lang w:eastAsia="zh-CN"/>
              </w:rPr>
              <w:t>。</w:t>
            </w:r>
          </w:p>
          <w:p>
            <w:pPr>
              <w:pStyle w:val="34"/>
              <w:keepNext w:val="0"/>
              <w:keepLines w:val="0"/>
              <w:widowControl/>
              <w:suppressLineNumbers w:val="0"/>
              <w:spacing w:before="0" w:beforeAutospacing="0" w:after="150" w:afterAutospacing="0" w:line="26" w:lineRule="atLeast"/>
              <w:ind w:right="0"/>
              <w:jc w:val="left"/>
              <w:rPr>
                <w:rFonts w:ascii="宋体" w:hAnsi="宋体" w:cs="宋体"/>
                <w:b/>
                <w:kern w:val="0"/>
                <w:szCs w:val="21"/>
                <w:highlight w:val="yellow"/>
              </w:rPr>
            </w:pPr>
            <w:r>
              <w:rPr>
                <w:rFonts w:hint="eastAsia" w:ascii="宋体" w:hAnsi="宋体" w:cs="宋体"/>
                <w:b/>
                <w:kern w:val="0"/>
                <w:szCs w:val="21"/>
                <w:highlight w:val="yellow"/>
              </w:rPr>
              <w:t>不同投标人之间的电子投标文件存在记录的MAC地址、造价软件加密锁序列号相同的，视为不同投标人的投标文件由同一单位或个人编制。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hint="eastAsia" w:ascii="宋体" w:hAnsi="宋体" w:eastAsia="宋体" w:cs="宋体"/>
                <w:highlight w:val="none"/>
                <w:u w:val="single"/>
                <w:lang w:eastAsia="zh-CN"/>
              </w:rPr>
            </w:pPr>
            <w:r>
              <w:rPr>
                <w:rFonts w:hint="eastAsia" w:ascii="宋体" w:hAnsi="宋体" w:cs="宋体"/>
                <w:highlight w:val="none"/>
                <w:u w:val="single"/>
              </w:rPr>
              <w:t>10.</w:t>
            </w:r>
            <w:r>
              <w:rPr>
                <w:rFonts w:hint="eastAsia" w:ascii="宋体" w:hAnsi="宋体" w:cs="宋体"/>
                <w:highlight w:val="none"/>
                <w:u w:val="single"/>
                <w:lang w:val="en-US" w:eastAsia="zh-CN"/>
              </w:rPr>
              <w:t>6</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电子投标文件自投标人在电子投标文件制作工具中、于该文件首页以电子签章方式同时签署公司章、法定代表人章之日起发生发律效力，投标人承诺该首页签章行为的确认效力（包括但不限于对该文件内容的真实性、合法性等方面的确认效力）及于该文件的全部内容。</w:t>
            </w:r>
          </w:p>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招投标活动各方均认可该种形式下的投标文件形式效力（仅指认可电子投标文件与书面投标文件在形式上具有同等效力，不当然意味着投标文件符合招标文件要求），不得以未有任何一方的书面签名进行形式效力抗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hint="eastAsia" w:ascii="宋体" w:hAnsi="宋体" w:eastAsia="宋体" w:cs="宋体"/>
                <w:highlight w:val="none"/>
                <w:u w:val="single"/>
                <w:lang w:eastAsia="zh-CN"/>
              </w:rPr>
            </w:pPr>
            <w:r>
              <w:rPr>
                <w:rFonts w:hint="eastAsia" w:ascii="宋体" w:hAnsi="宋体" w:cs="宋体"/>
                <w:highlight w:val="none"/>
                <w:u w:val="single"/>
              </w:rPr>
              <w:t>10.</w:t>
            </w:r>
            <w:r>
              <w:rPr>
                <w:rFonts w:hint="eastAsia" w:ascii="宋体" w:hAnsi="宋体" w:cs="宋体"/>
                <w:highlight w:val="none"/>
                <w:u w:val="single"/>
                <w:lang w:val="en-US" w:eastAsia="zh-CN"/>
              </w:rPr>
              <w:t>7</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书面形式的定义：数据电文形式与纸质形式的招标投标活动具有同等法律效力。数据电文形式包括文字的打印或复印件、传真、信函、电传、电报、电子邮件等可以有形表现所载内容的电子文档，青岛市公共资源交易电子服务系统发布的招标公告、招标文件及发出的澄清、答疑、变更等各类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hint="eastAsia" w:ascii="宋体" w:hAnsi="宋体" w:eastAsia="宋体" w:cs="宋体"/>
                <w:highlight w:val="none"/>
                <w:u w:val="single"/>
                <w:lang w:eastAsia="zh-CN"/>
              </w:rPr>
            </w:pPr>
            <w:r>
              <w:rPr>
                <w:rFonts w:hint="eastAsia" w:ascii="宋体" w:hAnsi="宋体" w:cs="宋体"/>
                <w:highlight w:val="none"/>
                <w:u w:val="single"/>
              </w:rPr>
              <w:t>10.</w:t>
            </w:r>
            <w:r>
              <w:rPr>
                <w:rFonts w:hint="eastAsia" w:ascii="宋体" w:hAnsi="宋体" w:cs="宋体"/>
                <w:highlight w:val="none"/>
                <w:u w:val="single"/>
                <w:lang w:val="en-US" w:eastAsia="zh-CN"/>
              </w:rPr>
              <w:t>8</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电子签名：可靠的电子签名与手写签名或者盖章具有同等的法律效力。电子签章是电子签名的表现形式，利用图像处理技术将电子签名操作转化为与纸质文件盖章操作相同的可视效果。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textAlignment w:val="baseline"/>
              <w:rPr>
                <w:rFonts w:ascii="宋体" w:hAnsi="宋体"/>
                <w:szCs w:val="21"/>
              </w:rPr>
            </w:pPr>
            <w:r>
              <w:rPr>
                <w:rFonts w:ascii="宋体" w:hAnsi="宋体" w:cs="宋体"/>
              </w:rPr>
              <w:t>…</w:t>
            </w:r>
          </w:p>
        </w:tc>
        <w:tc>
          <w:tcPr>
            <w:tcW w:w="8789" w:type="dxa"/>
            <w:gridSpan w:val="2"/>
            <w:vAlign w:val="center"/>
          </w:tcPr>
          <w:p>
            <w:pPr>
              <w:widowControl/>
              <w:snapToGrid w:val="0"/>
              <w:spacing w:line="300" w:lineRule="auto"/>
              <w:rPr>
                <w:rFonts w:ascii="宋体" w:hAnsi="宋体"/>
                <w:b/>
                <w:szCs w:val="21"/>
              </w:rPr>
            </w:pPr>
          </w:p>
        </w:tc>
      </w:tr>
    </w:tbl>
    <w:p>
      <w:pPr>
        <w:widowControl/>
        <w:jc w:val="center"/>
        <w:rPr>
          <w:sz w:val="28"/>
          <w:szCs w:val="28"/>
        </w:rPr>
      </w:pPr>
    </w:p>
    <w:p>
      <w:pPr>
        <w:widowControl/>
        <w:jc w:val="center"/>
        <w:rPr>
          <w:sz w:val="28"/>
          <w:szCs w:val="28"/>
        </w:rPr>
      </w:pPr>
    </w:p>
    <w:p>
      <w:pPr>
        <w:widowControl/>
        <w:jc w:val="left"/>
        <w:rPr>
          <w:rFonts w:hint="eastAsia"/>
          <w:color w:val="auto"/>
          <w:sz w:val="28"/>
          <w:szCs w:val="28"/>
          <w:highlight w:val="green"/>
          <w:lang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条款号可以修改，可以前后插行</w:t>
      </w:r>
    </w:p>
    <w:p>
      <w:pPr>
        <w:spacing w:line="360" w:lineRule="auto"/>
        <w:ind w:firstLine="560" w:firstLineChars="200"/>
        <w:rPr>
          <w:kern w:val="0"/>
          <w:sz w:val="24"/>
        </w:rPr>
      </w:pPr>
      <w:r>
        <w:rPr>
          <w:rFonts w:hint="eastAsia"/>
          <w:color w:val="auto"/>
          <w:sz w:val="28"/>
          <w:szCs w:val="28"/>
          <w:highlight w:val="green"/>
          <w:lang w:val="en-US" w:eastAsia="zh-CN"/>
        </w:rPr>
        <w:t>2.唱标阶段是否公开基准价由系统设定）</w:t>
      </w:r>
      <w:r>
        <w:rPr>
          <w:rFonts w:ascii="宋体"/>
          <w:b/>
          <w:sz w:val="28"/>
          <w:szCs w:val="28"/>
        </w:rPr>
        <w:br w:type="page"/>
      </w:r>
      <w:bookmarkEnd w:id="39"/>
      <w:bookmarkEnd w:id="40"/>
    </w:p>
    <w:p>
      <w:pPr>
        <w:spacing w:line="360" w:lineRule="auto"/>
        <w:jc w:val="center"/>
        <w:rPr>
          <w:rFonts w:hint="eastAsia" w:ascii="宋体" w:eastAsia="宋体"/>
          <w:b/>
          <w:sz w:val="28"/>
          <w:szCs w:val="28"/>
          <w:lang w:val="en-US" w:eastAsia="zh-CN"/>
        </w:rPr>
      </w:pPr>
      <w:r>
        <w:rPr>
          <w:rFonts w:hint="eastAsia" w:ascii="宋体"/>
          <w:b/>
          <w:sz w:val="28"/>
          <w:szCs w:val="28"/>
          <w:lang w:val="en-US" w:eastAsia="zh-CN"/>
        </w:rPr>
        <w:t>投标人须知</w:t>
      </w:r>
    </w:p>
    <w:p>
      <w:pPr>
        <w:pStyle w:val="2"/>
        <w:spacing w:beforeLines="0" w:after="240" w:line="400" w:lineRule="exact"/>
        <w:rPr>
          <w:szCs w:val="36"/>
        </w:rPr>
      </w:pPr>
      <w:bookmarkStart w:id="131" w:name="_GoBack"/>
      <w:bookmarkEnd w:id="131"/>
      <w:r>
        <w:rPr>
          <w:sz w:val="28"/>
        </w:rPr>
        <mc:AlternateContent>
          <mc:Choice Requires="wps">
            <w:drawing>
              <wp:anchor distT="0" distB="0" distL="114300" distR="114300" simplePos="0" relativeHeight="251659264" behindDoc="0" locked="0" layoutInCell="1" allowOverlap="1">
                <wp:simplePos x="0" y="0"/>
                <wp:positionH relativeFrom="column">
                  <wp:posOffset>1692910</wp:posOffset>
                </wp:positionH>
                <wp:positionV relativeFrom="paragraph">
                  <wp:posOffset>123190</wp:posOffset>
                </wp:positionV>
                <wp:extent cx="2372995" cy="1127125"/>
                <wp:effectExtent l="12700" t="12700" r="14605" b="22225"/>
                <wp:wrapNone/>
                <wp:docPr id="6" name="矩形 6"/>
                <wp:cNvGraphicFramePr/>
                <a:graphic xmlns:a="http://schemas.openxmlformats.org/drawingml/2006/main">
                  <a:graphicData uri="http://schemas.microsoft.com/office/word/2010/wordprocessingShape">
                    <wps:wsp>
                      <wps:cNvSpPr/>
                      <wps:spPr>
                        <a:xfrm>
                          <a:off x="934720" y="92964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国家发改委及行业主管部门发布的标准招标文件投标人须知正文。</w:t>
                            </w:r>
                          </w:p>
                          <w:p>
                            <w:pPr>
                              <w:jc w:val="left"/>
                              <w:rPr>
                                <w:rFonts w:hint="eastAsia"/>
                                <w:lang w:eastAsia="zh-CN"/>
                              </w:rPr>
                            </w:pPr>
                            <w:r>
                              <w:rPr>
                                <w:rFonts w:hint="eastAsia"/>
                                <w:b/>
                                <w:bCs/>
                                <w:lang w:eastAsia="zh-CN"/>
                              </w:rPr>
                              <w:t>或自行插入相关内容。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3pt;margin-top:9.7pt;height:88.75pt;width:186.85pt;z-index:251659264;v-text-anchor:middle;mso-width-relative:page;mso-height-relative:page;" fillcolor="#FFFFFF [3201]" filled="t" stroked="t" coordsize="21600,21600" o:gfxdata="UEsDBAoAAAAAAIdO4kAAAAAAAAAAAAAAAAAEAAAAZHJzL1BLAwQUAAAACACHTuJAytsLm9cAAAAK&#10;AQAADwAAAGRycy9kb3ducmV2LnhtbE2PwUrEMBCG74LvEEbw5qa7LsHWposKHkQQuipes82Ylm0m&#10;pcm29e2dPelx5v/455tyt/heTDjGLpCG9SoDgdQE25HT8PH+fHMHIiZD1vSBUMMPRthVlxelKWyY&#10;qcZpn5zgEoqF0dCmNBRSxqZFb+IqDEicfYfRm8Tj6KQdzczlvpebLFPSm474QmsGfGqxOe5PXsPc&#10;1V8vOAU1PLwtR/dp6/zVPWp9fbXO7kEkXNIfDGd9VoeKnQ7hRDaKXsNGKcUoB/kWBANqm92COJwX&#10;KgdZlfL/C9UvUEsDBBQAAAAIAIdO4kDgZYVLdwIAAPMEAAAOAAAAZHJzL2Uyb0RvYy54bWytVEtu&#10;2zAQ3RfoHQjuG1mKP7UROTBiuCgQNAHcomuaoiwB/JWkP+llCnTXQ/Q4Ra/RR0r5OO0ii3ohDzWj&#10;N/PezPDi8qgk2QvnW6NLmp8NKBGam6rV25J++rh685YSH5iumDRalPROeHo5f/3q4mBnojCNkZVw&#10;BCDazw62pE0IdpZlnjdCMX9mrNBw1sYpFnB026xy7AB0JbNiMBhnB+Mq6wwX3uPtsnPSHtG9BNDU&#10;dcvF0vCdEjp0qE5IFkDJN631dJ6qrWvBw01dexGILCmYhvREEtib+MzmF2y2dcw2Le9LYC8p4Rkn&#10;xVqNpA9QSxYY2bn2LyjVcme8qcMZNyrriCRFwCIfPNNm3TArEhdI7e2D6P7/wfIP+1tH2qqkY0o0&#10;U2j4728/fv38TsZRm4P1M4Ss7a3rTx5mJHqsnYr/oECOJZ2eDycFRL2DWUzHw15ZcQyEw12cT4rp&#10;dEQJR0CeF5O8GEX87BHIOh/eCaNINErq0LqkKNtf+9CF3ofEvN7Itlq1UqaD226upCN7hjav0q9H&#10;PwmTmhxQy2g4QKWcYXhrDA1MZSGA11tKmNxiK3hwKffJ1/4kyQQkk0SgcBIWi1wy33TFJFdfi9Qg&#10;HBXtNIxWOG6OvbAbU92hFc50M+otX7WAumY+3DKHoUTNWNtwg0ctDYiY3qKkMe7rv97HeMwKvJQc&#10;MOQg+WXHnKBEvteYomk+RKdISIfhKHXQPfVsnnr0Tl0ZCJzjgrA8mfjYBXlv1s6oz9juRcwKF9Mc&#10;uTs5+8NV6JYP9wMXi0UKwyZYFq712vIIHhuqzWIXTN2mxkehOnV6/bALaXT6vY3L9vScoh7vqv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tsLm9cAAAAKAQAADwAAAAAAAAABACAAAAAiAAAAZHJz&#10;L2Rvd25yZXYueG1sUEsBAhQAFAAAAAgAh07iQOBlhUt3AgAA8wQAAA4AAAAAAAAAAQAgAAAAJgEA&#10;AGRycy9lMm9Eb2MueG1sUEsFBgAAAAAGAAYAWQEAAA8GAAAAAA==&#10;">
                <v:fill on="t" focussize="0,0"/>
                <v:stroke weight="2pt" color="#F79646 [3209]"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国家发改委及行业主管部门发布的标准招标文件投标人须知正文。</w:t>
                      </w:r>
                    </w:p>
                    <w:p>
                      <w:pPr>
                        <w:jc w:val="left"/>
                        <w:rPr>
                          <w:rFonts w:hint="eastAsia"/>
                          <w:lang w:eastAsia="zh-CN"/>
                        </w:rPr>
                      </w:pPr>
                      <w:r>
                        <w:rPr>
                          <w:rFonts w:hint="eastAsia"/>
                          <w:b/>
                          <w:bCs/>
                          <w:lang w:eastAsia="zh-CN"/>
                        </w:rPr>
                        <w:t>或自行插入相关内容。</w:t>
                      </w:r>
                    </w:p>
                  </w:txbxContent>
                </v:textbox>
              </v:rect>
            </w:pict>
          </mc:Fallback>
        </mc:AlternateContent>
      </w:r>
      <w:r>
        <w:rPr>
          <w:rFonts w:ascii="宋体"/>
          <w:b/>
          <w:sz w:val="28"/>
          <w:szCs w:val="28"/>
        </w:rPr>
        <w:br w:type="page"/>
      </w:r>
      <w:bookmarkStart w:id="44" w:name="_Toc42601971"/>
      <w:bookmarkStart w:id="45" w:name="_Toc234349394"/>
      <w:bookmarkStart w:id="46" w:name="_Toc234345990"/>
      <w:bookmarkStart w:id="47" w:name="_Toc234350670"/>
      <w:bookmarkStart w:id="48" w:name="_Toc234345775"/>
      <w:bookmarkStart w:id="49" w:name="_Toc234348820"/>
      <w:bookmarkStart w:id="50" w:name="_Toc265483666"/>
      <w:r>
        <w:rPr>
          <w:rFonts w:hint="eastAsia" w:ascii="宋体" w:hAnsi="宋体" w:eastAsia="宋体" w:cs="Times New Roman"/>
          <w:b/>
          <w:kern w:val="2"/>
          <w:sz w:val="32"/>
          <w:szCs w:val="32"/>
          <w:lang w:val="en-US" w:eastAsia="zh-CN" w:bidi="ar-SA"/>
        </w:rPr>
        <w:t>第三章  评标办法（*******法）</w:t>
      </w:r>
    </w:p>
    <w:p>
      <w:pPr>
        <w:spacing w:line="360" w:lineRule="auto"/>
        <w:jc w:val="left"/>
        <w:rPr>
          <w:rFonts w:hint="eastAsia" w:ascii="宋体" w:hAnsi="宋体"/>
          <w:szCs w:val="21"/>
        </w:rPr>
      </w:pPr>
      <w:r>
        <w:rPr>
          <w:rFonts w:hint="eastAsia" w:ascii="宋体" w:hAnsi="宋体"/>
          <w:b/>
          <w:sz w:val="32"/>
          <w:szCs w:val="32"/>
        </w:rPr>
        <w:t>评标办法前附表</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101"/>
        <w:gridCol w:w="2695"/>
        <w:gridCol w:w="4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2" w:type="dxa"/>
            <w:gridSpan w:val="2"/>
            <w:noWrap w:val="0"/>
            <w:vAlign w:val="center"/>
          </w:tcPr>
          <w:p>
            <w:pPr>
              <w:jc w:val="center"/>
              <w:rPr>
                <w:rFonts w:hint="eastAsia"/>
                <w:b/>
              </w:rPr>
            </w:pPr>
            <w:r>
              <w:rPr>
                <w:rFonts w:hint="eastAsia" w:ascii="宋体" w:hAnsi="宋体"/>
                <w:b/>
                <w:szCs w:val="21"/>
              </w:rPr>
              <w:t>条款号</w:t>
            </w:r>
          </w:p>
        </w:tc>
        <w:tc>
          <w:tcPr>
            <w:tcW w:w="2695" w:type="dxa"/>
            <w:noWrap w:val="0"/>
            <w:vAlign w:val="center"/>
          </w:tcPr>
          <w:p>
            <w:pPr>
              <w:jc w:val="center"/>
              <w:rPr>
                <w:rFonts w:hint="eastAsia"/>
                <w:b/>
              </w:rPr>
            </w:pPr>
            <w:r>
              <w:rPr>
                <w:rFonts w:hint="eastAsia" w:ascii="宋体" w:hAnsi="宋体"/>
                <w:b/>
                <w:szCs w:val="21"/>
              </w:rPr>
              <w:t>评审因素</w:t>
            </w:r>
          </w:p>
        </w:tc>
        <w:tc>
          <w:tcPr>
            <w:tcW w:w="4457" w:type="dxa"/>
            <w:noWrap w:val="0"/>
            <w:vAlign w:val="center"/>
          </w:tcPr>
          <w:p>
            <w:pPr>
              <w:jc w:val="center"/>
              <w:rPr>
                <w:rFonts w:hint="eastAsia"/>
                <w:b/>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noWrap w:val="0"/>
            <w:vAlign w:val="center"/>
          </w:tcPr>
          <w:p>
            <w:pPr>
              <w:jc w:val="center"/>
              <w:rPr>
                <w:rFonts w:hint="eastAsia" w:eastAsia="宋体"/>
                <w:lang w:val="en-US" w:eastAsia="zh-CN"/>
              </w:rPr>
            </w:pPr>
            <w:r>
              <w:rPr>
                <w:rFonts w:hint="eastAsia"/>
                <w:lang w:val="en-US" w:eastAsia="zh-CN"/>
              </w:rPr>
              <w:t>1</w:t>
            </w:r>
          </w:p>
        </w:tc>
        <w:tc>
          <w:tcPr>
            <w:tcW w:w="1101" w:type="dxa"/>
            <w:noWrap w:val="0"/>
            <w:vAlign w:val="center"/>
          </w:tcPr>
          <w:p>
            <w:pPr>
              <w:keepNext w:val="0"/>
              <w:keepLines w:val="0"/>
              <w:widowControl/>
              <w:suppressLineNumbers w:val="0"/>
              <w:jc w:val="left"/>
              <w:rPr>
                <w:rFonts w:hint="eastAsia" w:ascii="宋体" w:hAnsi="宋体"/>
                <w:szCs w:val="21"/>
              </w:rPr>
            </w:pPr>
            <w:r>
              <w:rPr>
                <w:rFonts w:hint="eastAsia" w:ascii="宋体" w:hAnsi="宋体" w:eastAsia="宋体" w:cs="宋体"/>
                <w:color w:val="000000"/>
                <w:kern w:val="0"/>
                <w:sz w:val="21"/>
                <w:szCs w:val="21"/>
                <w:lang w:val="en-US" w:eastAsia="zh-CN" w:bidi="ar"/>
              </w:rPr>
              <w:t>评标</w:t>
            </w:r>
            <w:r>
              <w:rPr>
                <w:rFonts w:hint="eastAsia" w:ascii="宋体" w:hAnsi="宋体" w:cs="宋体"/>
                <w:color w:val="000000"/>
                <w:kern w:val="0"/>
                <w:sz w:val="21"/>
                <w:szCs w:val="21"/>
                <w:lang w:val="en-US" w:eastAsia="zh-CN" w:bidi="ar"/>
              </w:rPr>
              <w:t>方法</w:t>
            </w:r>
          </w:p>
        </w:tc>
        <w:tc>
          <w:tcPr>
            <w:tcW w:w="2695" w:type="dxa"/>
            <w:noWrap w:val="0"/>
            <w:vAlign w:val="top"/>
          </w:tcPr>
          <w:p>
            <w:pPr>
              <w:keepNext w:val="0"/>
              <w:keepLines w:val="0"/>
              <w:widowControl/>
              <w:suppressLineNumbers w:val="0"/>
              <w:jc w:val="center"/>
              <w:rPr>
                <w:rFonts w:hint="eastAsia" w:ascii="宋体" w:hAnsi="宋体"/>
                <w:szCs w:val="21"/>
              </w:rPr>
            </w:pPr>
            <w:r>
              <w:rPr>
                <w:rFonts w:hint="eastAsia" w:ascii="宋体" w:hAnsi="宋体" w:eastAsia="宋体" w:cs="宋体"/>
                <w:color w:val="000000"/>
                <w:kern w:val="0"/>
                <w:sz w:val="21"/>
                <w:szCs w:val="21"/>
                <w:lang w:val="en-US" w:eastAsia="zh-CN" w:bidi="ar"/>
              </w:rPr>
              <w:t>中标候选人排序方法</w:t>
            </w:r>
          </w:p>
        </w:tc>
        <w:tc>
          <w:tcPr>
            <w:tcW w:w="4457"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color w:val="auto"/>
                <w:highlight w:val="none"/>
                <w:u w:val="single"/>
              </w:rPr>
            </w:pPr>
            <w:r>
              <w:rPr>
                <w:rFonts w:hint="eastAsia"/>
                <w:color w:val="auto"/>
                <w:highlight w:val="none"/>
                <w:u w:val="single"/>
              </w:rPr>
              <w:t>2.1.1</w:t>
            </w:r>
          </w:p>
          <w:p>
            <w:pPr>
              <w:jc w:val="center"/>
              <w:rPr>
                <w:rFonts w:hint="default" w:eastAsia="宋体"/>
                <w:color w:val="auto"/>
                <w:highlight w:val="none"/>
                <w:u w:val="single"/>
                <w:lang w:val="en-US" w:eastAsia="zh-CN"/>
              </w:rPr>
            </w:pPr>
            <w:r>
              <w:rPr>
                <w:rFonts w:hint="eastAsia"/>
                <w:color w:val="auto"/>
                <w:highlight w:val="none"/>
                <w:u w:val="single"/>
                <w:lang w:val="en-US" w:eastAsia="zh-CN"/>
              </w:rPr>
              <w:t>2.1.3</w:t>
            </w:r>
          </w:p>
        </w:tc>
        <w:tc>
          <w:tcPr>
            <w:tcW w:w="1101" w:type="dxa"/>
            <w:vMerge w:val="restart"/>
            <w:noWrap w:val="0"/>
            <w:vAlign w:val="center"/>
          </w:tcPr>
          <w:p>
            <w:pPr>
              <w:jc w:val="center"/>
              <w:rPr>
                <w:rFonts w:hint="eastAsia" w:eastAsia="宋体"/>
                <w:color w:val="auto"/>
                <w:highlight w:val="none"/>
                <w:lang w:eastAsia="zh-CN"/>
              </w:rPr>
            </w:pPr>
            <w:r>
              <w:rPr>
                <w:rFonts w:hint="eastAsia" w:ascii="宋体" w:hAnsi="宋体"/>
                <w:color w:val="auto"/>
                <w:szCs w:val="21"/>
                <w:highlight w:val="none"/>
              </w:rPr>
              <w:t>形式评审标准</w:t>
            </w:r>
            <w:r>
              <w:rPr>
                <w:rFonts w:hint="eastAsia" w:ascii="宋体" w:hAnsi="宋体"/>
                <w:color w:val="auto"/>
                <w:szCs w:val="21"/>
                <w:highlight w:val="none"/>
                <w:lang w:eastAsia="zh-CN"/>
              </w:rPr>
              <w:t>与</w:t>
            </w:r>
            <w:r>
              <w:rPr>
                <w:rFonts w:hint="eastAsia" w:ascii="宋体" w:hAnsi="宋体"/>
                <w:color w:val="auto"/>
                <w:szCs w:val="21"/>
                <w:highlight w:val="none"/>
              </w:rPr>
              <w:t>响应性评审标准</w:t>
            </w:r>
            <w:r>
              <w:rPr>
                <w:rFonts w:hint="eastAsia" w:ascii="宋体" w:hAnsi="宋体"/>
                <w:color w:val="auto"/>
                <w:szCs w:val="21"/>
                <w:highlight w:val="none"/>
                <w:lang w:eastAsia="zh-CN"/>
              </w:rPr>
              <w:t>（商务文件）</w:t>
            </w:r>
          </w:p>
        </w:tc>
        <w:tc>
          <w:tcPr>
            <w:tcW w:w="2695" w:type="dxa"/>
            <w:noWrap w:val="0"/>
            <w:vAlign w:val="top"/>
          </w:tcPr>
          <w:p>
            <w:pPr>
              <w:spacing w:line="360" w:lineRule="auto"/>
              <w:ind w:firstLine="420" w:firstLineChars="200"/>
              <w:rPr>
                <w:rFonts w:hint="eastAsia" w:eastAsia="宋体"/>
                <w:color w:val="auto"/>
                <w:highlight w:val="none"/>
                <w:lang w:eastAsia="zh-CN"/>
              </w:rPr>
            </w:pPr>
            <w:r>
              <w:rPr>
                <w:rFonts w:hint="eastAsia" w:ascii="宋体" w:hAnsi="宋体"/>
                <w:color w:val="auto"/>
                <w:szCs w:val="21"/>
                <w:highlight w:val="none"/>
                <w:lang w:eastAsia="zh-CN"/>
              </w:rPr>
              <w:t>机器码比对</w:t>
            </w:r>
          </w:p>
        </w:tc>
        <w:tc>
          <w:tcPr>
            <w:tcW w:w="4457" w:type="dxa"/>
            <w:noWrap w:val="0"/>
            <w:vAlign w:val="top"/>
          </w:tcPr>
          <w:p>
            <w:pPr>
              <w:spacing w:line="360" w:lineRule="auto"/>
              <w:rPr>
                <w:rFonts w:hint="eastAsia"/>
                <w:highlight w:val="red"/>
              </w:rPr>
            </w:pPr>
            <w:r>
              <w:rPr>
                <w:rFonts w:hint="eastAsia" w:ascii="宋体" w:hAnsi="宋体"/>
                <w:color w:val="auto"/>
                <w:szCs w:val="21"/>
                <w:highlight w:val="none"/>
                <w:lang w:eastAsia="zh-CN"/>
              </w:rPr>
              <w:t>未发现不同投标人之间的电子投标文件存在记录的MAC地址、造价软件加密锁序列号中两项及以上相同；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81" w:type="dxa"/>
            <w:vMerge w:val="continue"/>
            <w:noWrap w:val="0"/>
            <w:vAlign w:val="top"/>
          </w:tcPr>
          <w:p>
            <w:pPr>
              <w:rPr>
                <w:rFonts w:hint="eastAsia"/>
                <w:color w:val="auto"/>
                <w:highlight w:val="none"/>
                <w:u w:val="single"/>
              </w:rPr>
            </w:pPr>
          </w:p>
        </w:tc>
        <w:tc>
          <w:tcPr>
            <w:tcW w:w="1101" w:type="dxa"/>
            <w:vMerge w:val="continue"/>
            <w:noWrap w:val="0"/>
            <w:vAlign w:val="top"/>
          </w:tcPr>
          <w:p>
            <w:pPr>
              <w:rPr>
                <w:rFonts w:hint="eastAsia" w:ascii="宋体" w:hAnsi="宋体"/>
                <w:color w:val="auto"/>
                <w:szCs w:val="21"/>
                <w:highlight w:val="none"/>
              </w:rPr>
            </w:pPr>
          </w:p>
        </w:tc>
        <w:tc>
          <w:tcPr>
            <w:tcW w:w="2695" w:type="dxa"/>
            <w:noWrap w:val="0"/>
            <w:vAlign w:val="top"/>
          </w:tcPr>
          <w:p>
            <w:pPr>
              <w:spacing w:line="360" w:lineRule="auto"/>
              <w:ind w:firstLine="420" w:firstLineChars="200"/>
              <w:rPr>
                <w:rFonts w:hint="eastAsia"/>
                <w:color w:val="auto"/>
                <w:highlight w:val="none"/>
              </w:rPr>
            </w:pPr>
          </w:p>
        </w:tc>
        <w:tc>
          <w:tcPr>
            <w:tcW w:w="4457" w:type="dxa"/>
            <w:noWrap w:val="0"/>
            <w:vAlign w:val="top"/>
          </w:tcPr>
          <w:p>
            <w:pPr>
              <w:spacing w:line="360" w:lineRule="auto"/>
              <w:jc w:val="left"/>
              <w:rPr>
                <w:rFonts w:hint="eastAsia"/>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1" w:type="dxa"/>
            <w:vMerge w:val="continue"/>
            <w:noWrap w:val="0"/>
            <w:vAlign w:val="top"/>
          </w:tcPr>
          <w:p>
            <w:pPr>
              <w:rPr>
                <w:rFonts w:hint="eastAsia"/>
                <w:color w:val="auto"/>
                <w:highlight w:val="none"/>
                <w:u w:val="single"/>
              </w:rPr>
            </w:pPr>
          </w:p>
        </w:tc>
        <w:tc>
          <w:tcPr>
            <w:tcW w:w="1101" w:type="dxa"/>
            <w:vMerge w:val="continue"/>
            <w:noWrap w:val="0"/>
            <w:vAlign w:val="top"/>
          </w:tcPr>
          <w:p>
            <w:pPr>
              <w:rPr>
                <w:rFonts w:hint="eastAsia" w:ascii="宋体" w:hAnsi="宋体"/>
                <w:color w:val="auto"/>
                <w:szCs w:val="21"/>
                <w:highlight w:val="none"/>
              </w:rPr>
            </w:pPr>
          </w:p>
        </w:tc>
        <w:tc>
          <w:tcPr>
            <w:tcW w:w="2695" w:type="dxa"/>
            <w:noWrap w:val="0"/>
            <w:vAlign w:val="top"/>
          </w:tcPr>
          <w:p>
            <w:pPr>
              <w:spacing w:line="360" w:lineRule="auto"/>
              <w:ind w:firstLine="420" w:firstLineChars="200"/>
              <w:rPr>
                <w:rFonts w:hint="eastAsia"/>
                <w:color w:val="auto"/>
                <w:highlight w:val="none"/>
              </w:rPr>
            </w:pPr>
          </w:p>
        </w:tc>
        <w:tc>
          <w:tcPr>
            <w:tcW w:w="4457" w:type="dxa"/>
            <w:noWrap w:val="0"/>
            <w:vAlign w:val="top"/>
          </w:tcPr>
          <w:p>
            <w:pPr>
              <w:spacing w:line="360" w:lineRule="auto"/>
              <w:jc w:val="left"/>
              <w:rPr>
                <w:rFonts w:hint="eastAsia"/>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color w:val="auto"/>
                <w:highlight w:val="none"/>
                <w:u w:val="single"/>
              </w:rPr>
            </w:pPr>
            <w:r>
              <w:rPr>
                <w:rFonts w:hint="eastAsia"/>
                <w:color w:val="auto"/>
                <w:highlight w:val="none"/>
                <w:u w:val="single"/>
              </w:rPr>
              <w:t>2.1.1</w:t>
            </w:r>
          </w:p>
          <w:p>
            <w:pPr>
              <w:jc w:val="center"/>
              <w:rPr>
                <w:rFonts w:hint="eastAsia"/>
                <w:u w:val="single"/>
              </w:rPr>
            </w:pPr>
            <w:r>
              <w:rPr>
                <w:rFonts w:hint="eastAsia"/>
                <w:color w:val="auto"/>
                <w:highlight w:val="none"/>
                <w:u w:val="single"/>
                <w:lang w:val="en-US" w:eastAsia="zh-CN"/>
              </w:rPr>
              <w:t>2.1.3</w:t>
            </w:r>
          </w:p>
        </w:tc>
        <w:tc>
          <w:tcPr>
            <w:tcW w:w="1101" w:type="dxa"/>
            <w:vMerge w:val="restart"/>
            <w:noWrap w:val="0"/>
            <w:vAlign w:val="center"/>
          </w:tcPr>
          <w:p>
            <w:pPr>
              <w:jc w:val="center"/>
              <w:rPr>
                <w:rFonts w:hint="eastAsia"/>
              </w:rPr>
            </w:pPr>
            <w:r>
              <w:rPr>
                <w:rFonts w:hint="eastAsia" w:ascii="宋体" w:hAnsi="宋体"/>
                <w:color w:val="auto"/>
                <w:szCs w:val="21"/>
                <w:highlight w:val="none"/>
              </w:rPr>
              <w:t>形式评审标准</w:t>
            </w:r>
            <w:r>
              <w:rPr>
                <w:rFonts w:hint="eastAsia" w:ascii="宋体" w:hAnsi="宋体"/>
                <w:color w:val="auto"/>
                <w:szCs w:val="21"/>
                <w:highlight w:val="none"/>
                <w:lang w:eastAsia="zh-CN"/>
              </w:rPr>
              <w:t>与</w:t>
            </w:r>
            <w:r>
              <w:rPr>
                <w:rFonts w:hint="eastAsia" w:ascii="宋体" w:hAnsi="宋体"/>
                <w:color w:val="auto"/>
                <w:szCs w:val="21"/>
                <w:highlight w:val="none"/>
              </w:rPr>
              <w:t>响应性评审标准</w:t>
            </w:r>
            <w:r>
              <w:rPr>
                <w:rFonts w:hint="eastAsia" w:ascii="宋体" w:hAnsi="宋体"/>
                <w:color w:val="auto"/>
                <w:szCs w:val="21"/>
                <w:highlight w:val="none"/>
                <w:lang w:eastAsia="zh-CN"/>
              </w:rPr>
              <w:t>（技术文件）</w:t>
            </w: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color w:val="auto"/>
                <w:highlight w:val="none"/>
                <w:u w:val="single"/>
              </w:rPr>
            </w:pPr>
            <w:r>
              <w:rPr>
                <w:rFonts w:hint="eastAsia"/>
                <w:color w:val="auto"/>
                <w:highlight w:val="none"/>
                <w:u w:val="single"/>
              </w:rPr>
              <w:t>2.1.1</w:t>
            </w:r>
          </w:p>
          <w:p>
            <w:pPr>
              <w:jc w:val="center"/>
              <w:rPr>
                <w:rFonts w:hint="eastAsia"/>
                <w:u w:val="single"/>
              </w:rPr>
            </w:pPr>
            <w:r>
              <w:rPr>
                <w:rFonts w:hint="eastAsia"/>
                <w:color w:val="auto"/>
                <w:highlight w:val="none"/>
                <w:u w:val="single"/>
                <w:lang w:val="en-US" w:eastAsia="zh-CN"/>
              </w:rPr>
              <w:t>2.1.3</w:t>
            </w:r>
          </w:p>
        </w:tc>
        <w:tc>
          <w:tcPr>
            <w:tcW w:w="1101" w:type="dxa"/>
            <w:vMerge w:val="restart"/>
            <w:noWrap w:val="0"/>
            <w:vAlign w:val="center"/>
          </w:tcPr>
          <w:p>
            <w:pPr>
              <w:jc w:val="center"/>
              <w:rPr>
                <w:rFonts w:hint="eastAsia"/>
              </w:rPr>
            </w:pPr>
            <w:r>
              <w:rPr>
                <w:rFonts w:hint="eastAsia" w:ascii="宋体" w:hAnsi="宋体"/>
                <w:color w:val="auto"/>
                <w:szCs w:val="21"/>
                <w:highlight w:val="none"/>
              </w:rPr>
              <w:t>形式评审标准</w:t>
            </w:r>
            <w:r>
              <w:rPr>
                <w:rFonts w:hint="eastAsia" w:ascii="宋体" w:hAnsi="宋体"/>
                <w:color w:val="auto"/>
                <w:szCs w:val="21"/>
                <w:highlight w:val="none"/>
                <w:lang w:eastAsia="zh-CN"/>
              </w:rPr>
              <w:t>与</w:t>
            </w:r>
            <w:r>
              <w:rPr>
                <w:rFonts w:hint="eastAsia" w:ascii="宋体" w:hAnsi="宋体"/>
                <w:color w:val="auto"/>
                <w:szCs w:val="21"/>
                <w:highlight w:val="none"/>
              </w:rPr>
              <w:t>响应性评审标准</w:t>
            </w:r>
            <w:r>
              <w:rPr>
                <w:rFonts w:hint="eastAsia" w:ascii="宋体" w:hAnsi="宋体"/>
                <w:color w:val="auto"/>
                <w:szCs w:val="21"/>
                <w:highlight w:val="none"/>
                <w:lang w:eastAsia="zh-CN"/>
              </w:rPr>
              <w:t>（报价文件）</w:t>
            </w: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u w:val="single"/>
              </w:rPr>
            </w:pPr>
            <w:r>
              <w:rPr>
                <w:rFonts w:hint="eastAsia"/>
                <w:u w:val="single"/>
              </w:rPr>
              <w:t>2.1.2</w:t>
            </w:r>
          </w:p>
        </w:tc>
        <w:tc>
          <w:tcPr>
            <w:tcW w:w="1101" w:type="dxa"/>
            <w:vMerge w:val="restart"/>
            <w:noWrap w:val="0"/>
            <w:vAlign w:val="center"/>
          </w:tcPr>
          <w:p>
            <w:pPr>
              <w:spacing w:line="360" w:lineRule="auto"/>
              <w:rPr>
                <w:rFonts w:ascii="宋体" w:hAnsi="宋体"/>
                <w:szCs w:val="21"/>
              </w:rPr>
            </w:pPr>
            <w:r>
              <w:rPr>
                <w:rFonts w:hint="eastAsia" w:ascii="宋体" w:hAnsi="宋体"/>
                <w:szCs w:val="21"/>
              </w:rPr>
              <w:t>资格评审标准</w:t>
            </w:r>
          </w:p>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ind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2.2.1</w:t>
            </w:r>
          </w:p>
        </w:tc>
        <w:tc>
          <w:tcPr>
            <w:tcW w:w="2695" w:type="dxa"/>
            <w:noWrap w:val="0"/>
            <w:vAlign w:val="center"/>
          </w:tcPr>
          <w:p>
            <w:pPr>
              <w:spacing w:line="360" w:lineRule="auto"/>
              <w:ind w:firstLine="420" w:firstLineChars="200"/>
              <w:jc w:val="center"/>
              <w:rPr>
                <w:rFonts w:hint="eastAsia" w:ascii="宋体" w:hAnsi="宋体"/>
                <w:szCs w:val="21"/>
              </w:rPr>
            </w:pPr>
            <w:r>
              <w:rPr>
                <w:rFonts w:hint="eastAsia" w:ascii="宋体" w:hAnsi="宋体"/>
                <w:szCs w:val="21"/>
              </w:rPr>
              <w:t>分值构成</w:t>
            </w:r>
          </w:p>
          <w:p>
            <w:pPr>
              <w:spacing w:line="360" w:lineRule="auto"/>
              <w:ind w:firstLine="420" w:firstLineChars="200"/>
              <w:jc w:val="center"/>
              <w:rPr>
                <w:rFonts w:hint="eastAsia" w:ascii="宋体" w:hAnsi="宋体"/>
                <w:szCs w:val="21"/>
              </w:rPr>
            </w:pPr>
            <w:r>
              <w:rPr>
                <w:rFonts w:hint="eastAsia" w:ascii="宋体" w:hAnsi="宋体"/>
                <w:szCs w:val="21"/>
              </w:rPr>
              <w:t>(总分100分)</w:t>
            </w:r>
          </w:p>
        </w:tc>
        <w:tc>
          <w:tcPr>
            <w:tcW w:w="4457" w:type="dxa"/>
            <w:noWrap w:val="0"/>
            <w:vAlign w:val="top"/>
          </w:tcPr>
          <w:p>
            <w:pPr>
              <w:spacing w:line="360" w:lineRule="auto"/>
              <w:ind w:firstLine="420" w:firstLineChars="200"/>
              <w:rPr>
                <w:rFonts w:hint="eastAsia"/>
              </w:rPr>
            </w:pPr>
            <w:r>
              <w:rPr>
                <w:rFonts w:hint="eastAsia"/>
                <w:lang w:eastAsia="zh-CN"/>
              </w:rPr>
              <w:t>商务部分</w:t>
            </w:r>
            <w:r>
              <w:rPr>
                <w:rFonts w:hint="eastAsia"/>
              </w:rPr>
              <w:t>：</w:t>
            </w:r>
            <w:r>
              <w:rPr>
                <w:rFonts w:hint="eastAsia"/>
                <w:u w:val="single"/>
              </w:rPr>
              <w:t xml:space="preserve">                </w:t>
            </w:r>
            <w:r>
              <w:rPr>
                <w:rFonts w:hint="eastAsia"/>
              </w:rPr>
              <w:t>分</w:t>
            </w:r>
          </w:p>
          <w:p>
            <w:pPr>
              <w:spacing w:line="360" w:lineRule="auto"/>
              <w:ind w:firstLine="420" w:firstLineChars="200"/>
              <w:rPr>
                <w:rFonts w:hint="eastAsia"/>
              </w:rPr>
            </w:pPr>
            <w:r>
              <w:rPr>
                <w:rFonts w:hint="eastAsia"/>
                <w:lang w:eastAsia="zh-CN"/>
              </w:rPr>
              <w:t>技术部分</w:t>
            </w:r>
            <w:r>
              <w:rPr>
                <w:rFonts w:hint="eastAsia"/>
              </w:rPr>
              <w:t>：</w:t>
            </w:r>
            <w:r>
              <w:rPr>
                <w:rFonts w:hint="eastAsia"/>
                <w:u w:val="single"/>
              </w:rPr>
              <w:t xml:space="preserve">                </w:t>
            </w:r>
            <w:r>
              <w:rPr>
                <w:rFonts w:hint="eastAsia"/>
              </w:rPr>
              <w:t>分</w:t>
            </w:r>
          </w:p>
          <w:p>
            <w:pPr>
              <w:spacing w:line="360" w:lineRule="auto"/>
              <w:ind w:firstLine="420" w:firstLineChars="200"/>
              <w:rPr>
                <w:rFonts w:hint="eastAsia"/>
              </w:rPr>
            </w:pPr>
            <w:r>
              <w:rPr>
                <w:rFonts w:hint="eastAsia"/>
                <w:lang w:eastAsia="zh-CN"/>
              </w:rPr>
              <w:t>报价部分</w:t>
            </w:r>
            <w:r>
              <w:rPr>
                <w:rFonts w:hint="eastAsia"/>
              </w:rPr>
              <w:t>：</w:t>
            </w:r>
            <w:r>
              <w:rPr>
                <w:rFonts w:hint="eastAsia"/>
                <w:u w:val="single"/>
              </w:rPr>
              <w:t xml:space="preserve">                </w:t>
            </w:r>
            <w:r>
              <w:rPr>
                <w:rFonts w:hint="eastAsia"/>
              </w:rPr>
              <w:t>分</w:t>
            </w:r>
          </w:p>
          <w:p>
            <w:pPr>
              <w:spacing w:line="360" w:lineRule="auto"/>
              <w:ind w:firstLine="560" w:firstLineChars="200"/>
              <w:rPr>
                <w:rFonts w:hint="eastAsia"/>
              </w:rPr>
            </w:pPr>
            <w:r>
              <w:rPr>
                <w:rFonts w:hint="eastAsia"/>
                <w:color w:val="auto"/>
                <w:sz w:val="28"/>
                <w:szCs w:val="28"/>
                <w:highlight w:val="green"/>
                <w:lang w:eastAsia="zh-CN"/>
              </w:rPr>
              <w:t>（注：根据评标办法可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2.2.2</w:t>
            </w:r>
          </w:p>
        </w:tc>
        <w:tc>
          <w:tcPr>
            <w:tcW w:w="2695" w:type="dxa"/>
            <w:noWrap w:val="0"/>
            <w:vAlign w:val="center"/>
          </w:tcPr>
          <w:p>
            <w:pPr>
              <w:spacing w:line="360" w:lineRule="auto"/>
              <w:ind w:firstLine="420" w:firstLineChars="200"/>
              <w:jc w:val="center"/>
              <w:rPr>
                <w:rFonts w:hint="eastAsia" w:ascii="宋体" w:hAnsi="宋体"/>
                <w:szCs w:val="21"/>
              </w:rPr>
            </w:pPr>
            <w:r>
              <w:rPr>
                <w:rFonts w:hint="eastAsia" w:ascii="宋体" w:hAnsi="宋体"/>
                <w:szCs w:val="21"/>
              </w:rPr>
              <w:t>评标其准价计算方法</w:t>
            </w:r>
          </w:p>
        </w:tc>
        <w:tc>
          <w:tcPr>
            <w:tcW w:w="4457" w:type="dxa"/>
            <w:noWrap w:val="0"/>
            <w:vAlign w:val="top"/>
          </w:tcPr>
          <w:p>
            <w:pPr>
              <w:pStyle w:val="83"/>
              <w:spacing w:before="95"/>
              <w:ind w:left="108"/>
              <w:rPr>
                <w:rFonts w:hint="eastAsia" w:cs="Times New Roman"/>
                <w:szCs w:val="21"/>
                <w:highlight w:val="none"/>
                <w:lang w:val="en-US" w:bidi="ar-SA"/>
              </w:rPr>
            </w:pPr>
            <w:r>
              <w:rPr>
                <w:rFonts w:hint="eastAsia" w:ascii="宋体" w:hAnsi="宋体"/>
                <w:b/>
                <w:sz w:val="32"/>
                <w:szCs w:val="32"/>
                <w:highlight w:val="none"/>
              </w:rPr>
              <w:sym w:font="Wingdings" w:char="00A8"/>
            </w:r>
            <w:r>
              <w:rPr>
                <w:rFonts w:hint="eastAsia" w:cs="Times New Roman"/>
                <w:szCs w:val="21"/>
                <w:highlight w:val="none"/>
                <w:lang w:val="en-US" w:bidi="ar-SA"/>
              </w:rPr>
              <w:t>在开标现场，招标人将当场计算并宣布评标基准价。</w:t>
            </w:r>
          </w:p>
          <w:p>
            <w:pPr>
              <w:pStyle w:val="83"/>
              <w:spacing w:before="95"/>
              <w:ind w:left="108"/>
              <w:rPr>
                <w:rFonts w:hint="eastAsia" w:cs="Times New Roman"/>
                <w:szCs w:val="21"/>
                <w:highlight w:val="none"/>
                <w:lang w:val="en-US" w:bidi="ar-SA"/>
              </w:rPr>
            </w:pPr>
          </w:p>
          <w:p>
            <w:pPr>
              <w:pStyle w:val="83"/>
              <w:spacing w:before="95"/>
              <w:ind w:left="108"/>
              <w:rPr>
                <w:rFonts w:cs="Times New Roman"/>
                <w:szCs w:val="21"/>
                <w:highlight w:val="none"/>
                <w:lang w:val="en-US" w:bidi="ar-SA"/>
              </w:rPr>
            </w:pPr>
            <w:r>
              <w:rPr>
                <w:rFonts w:hint="eastAsia" w:cs="Times New Roman"/>
                <w:szCs w:val="21"/>
                <w:highlight w:val="none"/>
                <w:lang w:val="en-US" w:bidi="ar-SA"/>
              </w:rPr>
              <w:t>评标基准价的计算：</w:t>
            </w:r>
          </w:p>
          <w:p>
            <w:pPr>
              <w:pStyle w:val="83"/>
              <w:spacing w:before="91" w:line="321" w:lineRule="auto"/>
              <w:ind w:right="98"/>
              <w:rPr>
                <w:rFonts w:cs="Times New Roman"/>
                <w:szCs w:val="21"/>
                <w:highlight w:val="none"/>
                <w:lang w:val="en-US" w:bidi="ar-SA"/>
              </w:rPr>
            </w:pPr>
          </w:p>
          <w:p>
            <w:pPr>
              <w:numPr>
                <w:ilvl w:val="0"/>
                <w:numId w:val="2"/>
              </w:numPr>
              <w:spacing w:line="360" w:lineRule="auto"/>
              <w:ind w:firstLine="420" w:firstLineChars="200"/>
              <w:rPr>
                <w:rFonts w:hint="eastAsia" w:cs="Times New Roman"/>
                <w:szCs w:val="21"/>
                <w:highlight w:val="none"/>
                <w:lang w:val="en-US" w:bidi="ar-SA"/>
              </w:rPr>
            </w:pPr>
            <w:r>
              <w:rPr>
                <w:rFonts w:hint="eastAsia" w:cs="Times New Roman"/>
                <w:szCs w:val="21"/>
                <w:highlight w:val="none"/>
                <w:lang w:val="en-US" w:bidi="ar-SA"/>
              </w:rPr>
              <w:t>评标价的确定：</w:t>
            </w:r>
            <w:r>
              <w:rPr>
                <w:rFonts w:cs="Times New Roman"/>
                <w:szCs w:val="21"/>
                <w:highlight w:val="none"/>
                <w:lang w:val="en-US" w:bidi="ar-SA"/>
              </w:rPr>
              <w:t>评标价＝投标函文字报价</w:t>
            </w:r>
            <w:r>
              <w:rPr>
                <w:rFonts w:hint="eastAsia" w:cs="Times New Roman"/>
                <w:szCs w:val="21"/>
                <w:highlight w:val="none"/>
                <w:lang w:val="en-US" w:bidi="ar-SA"/>
              </w:rPr>
              <w:t>。</w:t>
            </w:r>
          </w:p>
          <w:p>
            <w:pPr>
              <w:numPr>
                <w:ilvl w:val="0"/>
                <w:numId w:val="2"/>
              </w:numPr>
              <w:spacing w:line="360" w:lineRule="auto"/>
              <w:ind w:firstLine="420" w:firstLineChars="200"/>
              <w:rPr>
                <w:rFonts w:hint="eastAsia" w:cs="Times New Roman"/>
                <w:szCs w:val="21"/>
                <w:highlight w:val="none"/>
                <w:lang w:val="en-US" w:eastAsia="zh-CN" w:bidi="ar-SA"/>
              </w:rPr>
            </w:pPr>
            <w:r>
              <w:rPr>
                <w:rFonts w:hint="eastAsia" w:cs="Times New Roman"/>
                <w:szCs w:val="21"/>
                <w:highlight w:val="none"/>
                <w:lang w:val="en-US" w:eastAsia="zh-CN" w:bidi="ar-SA"/>
              </w:rPr>
              <w:t>.....</w:t>
            </w:r>
          </w:p>
          <w:p>
            <w:pPr>
              <w:spacing w:line="360" w:lineRule="auto"/>
              <w:ind w:firstLine="560" w:firstLineChars="200"/>
              <w:rPr>
                <w:rFonts w:hint="eastAsia"/>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系统配置生成，系统未配置的手动计算</w:t>
            </w:r>
            <w:r>
              <w:rPr>
                <w:rFonts w:hint="eastAsia"/>
                <w:color w:val="auto"/>
                <w:sz w:val="28"/>
                <w:szCs w:val="28"/>
                <w:highlight w:val="green"/>
                <w:lang w:val="en-US" w:eastAsia="zh-CN"/>
              </w:rPr>
              <w:t>；2.可以多个报价多个基准价；3.</w:t>
            </w:r>
            <w:r>
              <w:rPr>
                <w:rFonts w:hint="eastAsia"/>
                <w:color w:val="auto"/>
                <w:sz w:val="28"/>
                <w:szCs w:val="28"/>
                <w:highlight w:val="green"/>
                <w:lang w:eastAsia="zh-CN"/>
              </w:rPr>
              <w:t>根据评标办法可</w:t>
            </w:r>
            <w:r>
              <w:rPr>
                <w:rFonts w:hint="eastAsia"/>
                <w:color w:val="auto"/>
                <w:sz w:val="28"/>
                <w:szCs w:val="28"/>
                <w:highlight w:val="green"/>
                <w:lang w:val="en-US" w:eastAsia="zh-CN"/>
              </w:rPr>
              <w:t>/，按照报价由低到高排序）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2.2.3</w:t>
            </w:r>
          </w:p>
        </w:tc>
        <w:tc>
          <w:tcPr>
            <w:tcW w:w="2695" w:type="dxa"/>
            <w:noWrap w:val="0"/>
            <w:vAlign w:val="center"/>
          </w:tcPr>
          <w:p>
            <w:pPr>
              <w:spacing w:line="360" w:lineRule="auto"/>
              <w:ind w:firstLine="420" w:firstLineChars="200"/>
              <w:jc w:val="center"/>
              <w:rPr>
                <w:rFonts w:hint="eastAsia" w:ascii="宋体" w:hAnsi="宋体"/>
                <w:szCs w:val="21"/>
              </w:rPr>
            </w:pPr>
            <w:r>
              <w:rPr>
                <w:rFonts w:hint="eastAsia" w:ascii="宋体" w:hAnsi="宋体"/>
                <w:szCs w:val="21"/>
              </w:rPr>
              <w:t>投标报价的偏差率</w:t>
            </w:r>
          </w:p>
          <w:p>
            <w:pPr>
              <w:spacing w:line="360" w:lineRule="auto"/>
              <w:ind w:firstLine="420" w:firstLineChars="200"/>
              <w:jc w:val="center"/>
              <w:rPr>
                <w:rFonts w:hint="eastAsia" w:ascii="宋体" w:hAnsi="宋体"/>
                <w:szCs w:val="21"/>
              </w:rPr>
            </w:pPr>
            <w:r>
              <w:rPr>
                <w:rFonts w:hint="eastAsia" w:ascii="宋体" w:hAnsi="宋体"/>
                <w:szCs w:val="21"/>
              </w:rPr>
              <w:t>计算公式</w:t>
            </w:r>
          </w:p>
        </w:tc>
        <w:tc>
          <w:tcPr>
            <w:tcW w:w="4457" w:type="dxa"/>
            <w:noWrap w:val="0"/>
            <w:vAlign w:val="top"/>
          </w:tcPr>
          <w:p>
            <w:pPr>
              <w:spacing w:line="360" w:lineRule="auto"/>
              <w:rPr>
                <w:rFonts w:hint="eastAsia" w:ascii="宋体" w:hAnsi="宋体"/>
                <w:lang w:eastAsia="zh-CN"/>
              </w:rPr>
            </w:pPr>
            <w:r>
              <w:rPr>
                <w:rFonts w:hint="eastAsia"/>
              </w:rPr>
              <w:t>偏差率=100</w:t>
            </w:r>
            <w:r>
              <w:rPr>
                <w:rFonts w:hint="eastAsia" w:ascii="宋体" w:hAnsi="宋体"/>
              </w:rPr>
              <w:t>%×（投标人报价－评标基准价）/评标基准价</w:t>
            </w:r>
            <w:r>
              <w:rPr>
                <w:rFonts w:hint="eastAsia" w:ascii="宋体" w:hAnsi="宋体"/>
                <w:lang w:eastAsia="zh-CN"/>
              </w:rPr>
              <w:t>。偏差率保留四位小数。</w:t>
            </w:r>
          </w:p>
          <w:p>
            <w:pPr>
              <w:spacing w:line="360" w:lineRule="auto"/>
              <w:rPr>
                <w:rFonts w:hint="eastAsia"/>
                <w:color w:val="auto"/>
                <w:sz w:val="28"/>
                <w:szCs w:val="28"/>
                <w:highlight w:val="green"/>
                <w:lang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系统配置生成</w:t>
            </w:r>
            <w:r>
              <w:rPr>
                <w:rFonts w:hint="eastAsia"/>
                <w:color w:val="auto"/>
                <w:sz w:val="28"/>
                <w:szCs w:val="28"/>
                <w:highlight w:val="green"/>
                <w:lang w:val="en-US" w:eastAsia="zh-CN"/>
              </w:rPr>
              <w:t>；2.可以多个报价多个基准价；3.</w:t>
            </w:r>
            <w:r>
              <w:rPr>
                <w:rFonts w:hint="eastAsia"/>
                <w:color w:val="auto"/>
                <w:sz w:val="28"/>
                <w:szCs w:val="28"/>
                <w:highlight w:val="green"/>
                <w:lang w:eastAsia="zh-CN"/>
              </w:rPr>
              <w:t>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w:t>
            </w:r>
            <w:r>
              <w:rPr>
                <w:rFonts w:hint="eastAsia" w:ascii="宋体" w:hAnsi="宋体"/>
                <w:szCs w:val="21"/>
                <w:u w:val="single"/>
                <w:lang w:val="en-US" w:eastAsia="zh-CN"/>
              </w:rPr>
              <w:t>4</w:t>
            </w:r>
          </w:p>
        </w:tc>
        <w:tc>
          <w:tcPr>
            <w:tcW w:w="2695" w:type="dxa"/>
            <w:noWrap w:val="0"/>
            <w:vAlign w:val="center"/>
          </w:tcPr>
          <w:p>
            <w:pPr>
              <w:spacing w:line="360" w:lineRule="auto"/>
              <w:ind w:firstLine="420" w:firstLineChars="200"/>
              <w:jc w:val="center"/>
              <w:rPr>
                <w:rFonts w:hint="eastAsia" w:ascii="宋体" w:hAnsi="宋体" w:eastAsia="宋体"/>
                <w:b w:val="0"/>
                <w:bCs/>
                <w:lang w:eastAsia="zh-CN"/>
              </w:rPr>
            </w:pPr>
            <w:r>
              <w:rPr>
                <w:rFonts w:hint="eastAsia" w:ascii="宋体" w:hAnsi="宋体"/>
                <w:b w:val="0"/>
                <w:bCs/>
                <w:lang w:eastAsia="zh-CN"/>
              </w:rPr>
              <w:t>（</w:t>
            </w:r>
            <w:r>
              <w:rPr>
                <w:rFonts w:hint="eastAsia" w:ascii="宋体" w:hAnsi="宋体"/>
                <w:b w:val="0"/>
                <w:bCs/>
              </w:rPr>
              <w:t>评分因素与权重分值</w:t>
            </w:r>
            <w:r>
              <w:rPr>
                <w:rFonts w:hint="eastAsia" w:ascii="宋体" w:hAnsi="宋体"/>
                <w:b w:val="0"/>
                <w:bCs/>
                <w:lang w:eastAsia="zh-CN"/>
              </w:rPr>
              <w:t>）</w:t>
            </w:r>
          </w:p>
        </w:tc>
        <w:tc>
          <w:tcPr>
            <w:tcW w:w="4457" w:type="dxa"/>
            <w:noWrap w:val="0"/>
            <w:vAlign w:val="top"/>
          </w:tcPr>
          <w:p>
            <w:pPr>
              <w:spacing w:line="360" w:lineRule="auto"/>
              <w:rPr>
                <w:rFonts w:hint="eastAsia"/>
                <w:color w:val="auto"/>
                <w:sz w:val="28"/>
                <w:szCs w:val="28"/>
                <w:highlight w:val="green"/>
                <w:lang w:eastAsia="zh-CN"/>
              </w:rPr>
            </w:pPr>
            <w:r>
              <w:rPr>
                <w:rFonts w:hint="eastAsia"/>
                <w:color w:val="auto"/>
                <w:sz w:val="28"/>
                <w:szCs w:val="28"/>
                <w:highlight w:val="green"/>
                <w:lang w:eastAsia="zh-CN"/>
              </w:rPr>
              <w:t>（注：系统配置生成</w:t>
            </w:r>
            <w:r>
              <w:rPr>
                <w:rFonts w:hint="eastAsia"/>
                <w:color w:val="auto"/>
                <w:sz w:val="28"/>
                <w:szCs w:val="28"/>
                <w:highlight w:val="green"/>
                <w:lang w:val="en-US" w:eastAsia="zh-CN"/>
              </w:rPr>
              <w:t>；2.</w:t>
            </w:r>
            <w:r>
              <w:rPr>
                <w:rFonts w:hint="eastAsia"/>
                <w:color w:val="auto"/>
                <w:sz w:val="28"/>
                <w:szCs w:val="28"/>
                <w:highlight w:val="green"/>
                <w:lang w:eastAsia="zh-CN"/>
              </w:rPr>
              <w:t>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82" w:type="dxa"/>
            <w:gridSpan w:val="2"/>
            <w:noWrap w:val="0"/>
            <w:vAlign w:val="center"/>
          </w:tcPr>
          <w:p>
            <w:pPr>
              <w:spacing w:line="360" w:lineRule="auto"/>
              <w:jc w:val="center"/>
              <w:rPr>
                <w:rFonts w:hint="eastAsia" w:ascii="宋体" w:hAnsi="宋体" w:eastAsia="宋体"/>
                <w:szCs w:val="21"/>
                <w:u w:val="single"/>
                <w:lang w:eastAsia="zh-CN"/>
              </w:rPr>
            </w:pPr>
            <w:r>
              <w:rPr>
                <w:rFonts w:hint="eastAsia" w:ascii="宋体" w:hAnsi="宋体"/>
                <w:szCs w:val="21"/>
                <w:u w:val="single"/>
              </w:rPr>
              <w:t>2.2.</w:t>
            </w:r>
            <w:r>
              <w:rPr>
                <w:rFonts w:hint="eastAsia" w:ascii="宋体" w:hAnsi="宋体"/>
                <w:szCs w:val="21"/>
                <w:u w:val="single"/>
                <w:lang w:val="en-US" w:eastAsia="zh-CN"/>
              </w:rPr>
              <w:t>4</w:t>
            </w:r>
          </w:p>
        </w:tc>
        <w:tc>
          <w:tcPr>
            <w:tcW w:w="2695" w:type="dxa"/>
            <w:noWrap w:val="0"/>
            <w:vAlign w:val="center"/>
          </w:tcPr>
          <w:p>
            <w:pPr>
              <w:spacing w:line="360" w:lineRule="auto"/>
              <w:ind w:firstLine="420" w:firstLineChars="200"/>
              <w:jc w:val="center"/>
              <w:rPr>
                <w:rFonts w:hint="eastAsia" w:ascii="宋体" w:hAnsi="宋体" w:eastAsia="宋体"/>
                <w:b w:val="0"/>
                <w:bCs/>
                <w:szCs w:val="21"/>
                <w:lang w:eastAsia="zh-CN"/>
              </w:rPr>
            </w:pPr>
            <w:r>
              <w:rPr>
                <w:rFonts w:hint="eastAsia" w:ascii="宋体" w:hAnsi="宋体"/>
                <w:b w:val="0"/>
                <w:bCs/>
                <w:lang w:eastAsia="zh-CN"/>
              </w:rPr>
              <w:t>评标价</w:t>
            </w:r>
          </w:p>
        </w:tc>
        <w:tc>
          <w:tcPr>
            <w:tcW w:w="4457" w:type="dxa"/>
            <w:noWrap w:val="0"/>
            <w:vAlign w:val="top"/>
          </w:tcPr>
          <w:p>
            <w:pPr>
              <w:pStyle w:val="83"/>
              <w:spacing w:before="90"/>
              <w:ind w:left="108"/>
              <w:rPr>
                <w:highlight w:val="yellow"/>
              </w:rPr>
            </w:pPr>
            <w:r>
              <w:rPr>
                <w:highlight w:val="yellow"/>
              </w:rPr>
              <w:t>评标价得分计算公式：</w:t>
            </w:r>
          </w:p>
          <w:p>
            <w:pPr>
              <w:pStyle w:val="83"/>
              <w:tabs>
                <w:tab w:val="left" w:pos="640"/>
              </w:tabs>
              <w:spacing w:before="91" w:line="321" w:lineRule="auto"/>
              <w:ind w:left="108" w:right="94"/>
              <w:rPr>
                <w:highlight w:val="yellow"/>
              </w:rPr>
            </w:pPr>
            <w:r>
              <w:rPr>
                <w:rFonts w:hint="eastAsia"/>
                <w:highlight w:val="yellow"/>
              </w:rPr>
              <w:t>（1）</w:t>
            </w:r>
            <w:r>
              <w:rPr>
                <w:highlight w:val="yellow"/>
              </w:rPr>
              <w:t>如果投标人的评标价&gt;评标基准价，则评标价得分＝</w:t>
            </w:r>
            <w:r>
              <w:rPr>
                <w:rFonts w:hint="eastAsia"/>
                <w:highlight w:val="yellow"/>
              </w:rPr>
              <w:t>F</w:t>
            </w:r>
            <w:r>
              <w:rPr>
                <w:highlight w:val="yellow"/>
              </w:rPr>
              <w:t>－偏差率×100×E1；</w:t>
            </w:r>
          </w:p>
          <w:p>
            <w:pPr>
              <w:pStyle w:val="83"/>
              <w:tabs>
                <w:tab w:val="left" w:pos="640"/>
              </w:tabs>
              <w:spacing w:line="321" w:lineRule="auto"/>
              <w:ind w:left="108" w:right="94"/>
              <w:rPr>
                <w:highlight w:val="yellow"/>
              </w:rPr>
            </w:pPr>
            <w:r>
              <w:rPr>
                <w:rFonts w:hint="eastAsia"/>
                <w:highlight w:val="yellow"/>
              </w:rPr>
              <w:t>（2）</w:t>
            </w:r>
            <w:r>
              <w:rPr>
                <w:highlight w:val="yellow"/>
              </w:rPr>
              <w:t>如果投标人的评标价≤评标基准价，则评标价得分＝</w:t>
            </w:r>
            <w:r>
              <w:rPr>
                <w:rFonts w:hint="eastAsia"/>
                <w:highlight w:val="yellow"/>
              </w:rPr>
              <w:t>F</w:t>
            </w:r>
            <w:r>
              <w:rPr>
                <w:highlight w:val="yellow"/>
              </w:rPr>
              <w:t>＋偏差率×100×E2。</w:t>
            </w:r>
          </w:p>
          <w:p>
            <w:pPr>
              <w:pStyle w:val="83"/>
              <w:spacing w:line="321" w:lineRule="auto"/>
              <w:ind w:left="108" w:right="93"/>
              <w:rPr>
                <w:rFonts w:hint="eastAsia"/>
              </w:rPr>
            </w:pPr>
            <w:r>
              <w:rPr>
                <w:highlight w:val="yellow"/>
              </w:rPr>
              <w:t xml:space="preserve">其中：F </w:t>
            </w:r>
            <w:r>
              <w:rPr>
                <w:rFonts w:hint="eastAsia"/>
                <w:highlight w:val="yellow"/>
              </w:rPr>
              <w:t>是评标价所占的权重分值，</w:t>
            </w:r>
            <w:r>
              <w:rPr>
                <w:highlight w:val="yellow"/>
              </w:rPr>
              <w:t>E1 是评标价每高于评标基准价一个百分点的扣分值，E2 是评标价每低于评标基准价一个百分点的扣分值；招标人可依据招标项目具体特点和实际需要设</w:t>
            </w:r>
            <w:r>
              <w:rPr>
                <w:rFonts w:hint="eastAsia"/>
                <w:kern w:val="0"/>
                <w:szCs w:val="22"/>
                <w:highlight w:val="yellow"/>
              </w:rPr>
              <w:t>置</w:t>
            </w:r>
            <w:r>
              <w:rPr>
                <w:kern w:val="0"/>
                <w:szCs w:val="22"/>
                <w:highlight w:val="yellow"/>
              </w:rPr>
              <w:t xml:space="preserve"> E1</w:t>
            </w:r>
            <w:r>
              <w:rPr>
                <w:rFonts w:hint="eastAsia"/>
                <w:kern w:val="0"/>
                <w:szCs w:val="22"/>
                <w:highlight w:val="yellow"/>
              </w:rPr>
              <w:t>、</w:t>
            </w:r>
            <w:r>
              <w:rPr>
                <w:kern w:val="0"/>
                <w:szCs w:val="22"/>
                <w:highlight w:val="yellow"/>
              </w:rPr>
              <w:t>E2</w:t>
            </w:r>
            <w:r>
              <w:rPr>
                <w:rFonts w:hint="eastAsia"/>
                <w:kern w:val="0"/>
                <w:szCs w:val="22"/>
                <w:highlight w:val="yellow"/>
              </w:rPr>
              <w:t>，但</w:t>
            </w:r>
            <w:r>
              <w:rPr>
                <w:kern w:val="0"/>
                <w:szCs w:val="22"/>
                <w:highlight w:val="yellow"/>
              </w:rPr>
              <w:t xml:space="preserve"> E1 </w:t>
            </w:r>
            <w:r>
              <w:rPr>
                <w:rFonts w:hint="eastAsia"/>
                <w:kern w:val="0"/>
                <w:szCs w:val="22"/>
                <w:highlight w:val="yellow"/>
              </w:rPr>
              <w:t>应大于</w:t>
            </w:r>
            <w:r>
              <w:rPr>
                <w:kern w:val="0"/>
                <w:szCs w:val="22"/>
                <w:highlight w:val="yellow"/>
              </w:rPr>
              <w:t>E2</w:t>
            </w:r>
            <w:r>
              <w:rPr>
                <w:rFonts w:hint="eastAsia"/>
              </w:rPr>
              <w:t>。</w:t>
            </w:r>
          </w:p>
          <w:p>
            <w:pPr>
              <w:spacing w:line="360" w:lineRule="auto"/>
              <w:rPr>
                <w:rFonts w:hint="eastAsia"/>
                <w:color w:val="auto"/>
                <w:sz w:val="28"/>
                <w:szCs w:val="28"/>
                <w:highlight w:val="green"/>
                <w:lang w:eastAsia="zh-CN"/>
              </w:rPr>
            </w:pPr>
            <w:r>
              <w:rPr>
                <w:rFonts w:hint="eastAsia"/>
                <w:b/>
              </w:rPr>
              <w:t>E1=</w:t>
            </w:r>
            <w:r>
              <w:rPr>
                <w:rFonts w:hint="eastAsia"/>
                <w:b/>
                <w:u w:val="single"/>
              </w:rPr>
              <w:t xml:space="preserve">    </w:t>
            </w:r>
            <w:r>
              <w:rPr>
                <w:rFonts w:hint="eastAsia"/>
                <w:b/>
              </w:rPr>
              <w:t>，E2=</w:t>
            </w:r>
            <w:r>
              <w:rPr>
                <w:rFonts w:hint="eastAsia"/>
                <w:b/>
                <w:u w:val="single"/>
              </w:rPr>
              <w:t xml:space="preserve">    </w:t>
            </w:r>
            <w:r>
              <w:rPr>
                <w:rFonts w:hint="eastAsia"/>
                <w:b/>
              </w:rPr>
              <w:t>。</w:t>
            </w:r>
          </w:p>
          <w:p>
            <w:pPr>
              <w:spacing w:line="360" w:lineRule="auto"/>
              <w:rPr>
                <w:rFonts w:hint="eastAsia" w:ascii="宋体" w:hAnsi="宋体"/>
                <w:lang w:eastAsia="zh-CN"/>
              </w:rPr>
            </w:pPr>
            <w:r>
              <w:rPr>
                <w:rFonts w:hint="eastAsia"/>
                <w:color w:val="auto"/>
                <w:sz w:val="28"/>
                <w:szCs w:val="28"/>
                <w:highlight w:val="green"/>
                <w:lang w:eastAsia="zh-CN"/>
              </w:rPr>
              <w:t>（注：系统配置生成</w:t>
            </w:r>
            <w:r>
              <w:rPr>
                <w:rFonts w:hint="eastAsia"/>
                <w:color w:val="auto"/>
                <w:sz w:val="28"/>
                <w:szCs w:val="28"/>
                <w:highlight w:val="green"/>
                <w:lang w:val="en-US" w:eastAsia="zh-CN"/>
              </w:rPr>
              <w:t>；2.</w:t>
            </w:r>
            <w:r>
              <w:rPr>
                <w:rFonts w:hint="eastAsia"/>
                <w:color w:val="auto"/>
                <w:sz w:val="28"/>
                <w:szCs w:val="28"/>
                <w:highlight w:val="green"/>
                <w:lang w:eastAsia="zh-CN"/>
              </w:rPr>
              <w:t>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9134" w:type="dxa"/>
            <w:gridSpan w:val="4"/>
            <w:noWrap w:val="0"/>
            <w:vAlign w:val="center"/>
          </w:tcPr>
          <w:p>
            <w:pPr>
              <w:spacing w:line="360" w:lineRule="auto"/>
              <w:ind w:firstLine="420" w:firstLineChars="200"/>
              <w:rPr>
                <w:rFonts w:hint="eastAsia" w:ascii="宋体" w:hAnsi="宋体"/>
                <w:szCs w:val="21"/>
              </w:rPr>
            </w:pPr>
            <w:r>
              <w:rPr>
                <w:rFonts w:hint="eastAsia" w:ascii="宋体" w:hAnsi="宋体"/>
                <w:szCs w:val="21"/>
              </w:rPr>
              <w:t>需要补充的其他内容</w:t>
            </w:r>
            <w:r>
              <w:rPr>
                <w:rFonts w:hint="eastAsia" w:ascii="宋体" w:hAnsi="宋体"/>
                <w:szCs w:val="21"/>
                <w:lang w:eastAsia="zh-CN"/>
              </w:rPr>
              <w:t>：</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技术文件得分应以评标委员会各成员的打分平均值确定，保留2位小数。</w:t>
            </w:r>
          </w:p>
          <w:p>
            <w:pPr>
              <w:spacing w:line="360" w:lineRule="auto"/>
              <w:ind w:firstLine="420" w:firstLineChars="200"/>
              <w:rPr>
                <w:rFonts w:hint="eastAsia" w:ascii="宋体" w:hAnsi="宋体"/>
                <w:szCs w:val="21"/>
              </w:rPr>
            </w:pPr>
            <w:r>
              <w:rPr>
                <w:rFonts w:hint="eastAsia" w:ascii="宋体" w:hAnsi="宋体"/>
                <w:szCs w:val="21"/>
              </w:rPr>
              <w:t>□技术文件得分应以评标委员会各成员的打分去掉一个最高分和一个最低分后的平均值确定，保留2位小数。</w:t>
            </w:r>
          </w:p>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2......</w:t>
            </w:r>
          </w:p>
          <w:p>
            <w:pPr>
              <w:spacing w:line="360" w:lineRule="auto"/>
              <w:ind w:firstLine="420" w:firstLineChars="200"/>
              <w:rPr>
                <w:rFonts w:hint="eastAsia" w:ascii="宋体" w:hAnsi="宋体"/>
                <w:szCs w:val="21"/>
              </w:rPr>
            </w:pPr>
          </w:p>
          <w:p>
            <w:pPr>
              <w:spacing w:line="360" w:lineRule="auto"/>
              <w:ind w:firstLine="420" w:firstLineChars="200"/>
              <w:rPr>
                <w:rFonts w:hint="eastAsia"/>
              </w:rPr>
            </w:pPr>
            <w:r>
              <w:rPr>
                <w:rFonts w:hint="eastAsia"/>
              </w:rPr>
              <w:t xml:space="preserve"> </w:t>
            </w:r>
          </w:p>
          <w:p>
            <w:pPr>
              <w:spacing w:line="360" w:lineRule="auto"/>
              <w:ind w:firstLine="420" w:firstLineChars="200"/>
              <w:rPr>
                <w:rFonts w:hint="eastAsia"/>
              </w:rPr>
            </w:pPr>
            <w:r>
              <w:rPr>
                <w:rFonts w:hint="eastAsia"/>
              </w:rPr>
              <w:t xml:space="preserve"> </w:t>
            </w:r>
          </w:p>
        </w:tc>
      </w:tr>
    </w:tbl>
    <w:p>
      <w:pPr>
        <w:rPr>
          <w:rFonts w:hint="eastAsia" w:ascii="宋体" w:hAnsi="宋体"/>
          <w:b/>
          <w:sz w:val="32"/>
          <w:szCs w:val="32"/>
        </w:rPr>
      </w:pPr>
      <w:r>
        <w:rPr>
          <w:rFonts w:hint="eastAsia"/>
          <w:color w:val="auto"/>
          <w:sz w:val="28"/>
          <w:szCs w:val="28"/>
          <w:highlight w:val="green"/>
          <w:lang w:eastAsia="zh-CN"/>
        </w:rPr>
        <w:t>（注：代理设置评标程序，资格审查、商务文件初审、商务文件祥审、技术文件初审、技术文件祥审、报价文件初审、报价文件祥审，</w:t>
      </w:r>
      <w:r>
        <w:rPr>
          <w:rFonts w:hint="eastAsia"/>
          <w:color w:val="auto"/>
          <w:sz w:val="28"/>
          <w:szCs w:val="28"/>
          <w:highlight w:val="green"/>
          <w:lang w:val="en-US" w:eastAsia="zh-CN"/>
        </w:rPr>
        <w:t>7个部分的评标顺序由代理机构自由设置）</w:t>
      </w:r>
    </w:p>
    <w:bookmarkEnd w:id="44"/>
    <w:bookmarkEnd w:id="45"/>
    <w:bookmarkEnd w:id="46"/>
    <w:bookmarkEnd w:id="47"/>
    <w:bookmarkEnd w:id="48"/>
    <w:bookmarkEnd w:id="49"/>
    <w:bookmarkEnd w:id="50"/>
    <w:p>
      <w:pPr>
        <w:rPr>
          <w:rFonts w:hint="eastAsia" w:ascii="宋体" w:hAnsi="Times New Roman" w:eastAsia="宋体" w:cs="Times New Roman"/>
          <w:b/>
          <w:bCs w:val="0"/>
          <w:kern w:val="2"/>
          <w:sz w:val="28"/>
          <w:szCs w:val="28"/>
          <w:lang w:val="en-US" w:eastAsia="zh-CN" w:bidi="ar-SA"/>
        </w:rPr>
      </w:pPr>
      <w:bookmarkStart w:id="51" w:name="_Toc234345797"/>
      <w:bookmarkStart w:id="52" w:name="_Toc234346012"/>
      <w:bookmarkStart w:id="53" w:name="_Toc234349428"/>
      <w:bookmarkStart w:id="54" w:name="_Toc234348854"/>
      <w:bookmarkStart w:id="55" w:name="_Toc234350674"/>
      <w:r>
        <w:rPr>
          <w:rFonts w:hint="eastAsia" w:ascii="宋体" w:hAnsi="Times New Roman" w:eastAsia="宋体" w:cs="Times New Roman"/>
          <w:b/>
          <w:bCs w:val="0"/>
          <w:kern w:val="2"/>
          <w:sz w:val="28"/>
          <w:szCs w:val="28"/>
          <w:lang w:val="en-US" w:eastAsia="zh-CN" w:bidi="ar-SA"/>
        </w:rPr>
        <w:br w:type="page"/>
      </w:r>
    </w:p>
    <w:p>
      <w:pPr>
        <w:pStyle w:val="7"/>
        <w:jc w:val="center"/>
        <w:rPr>
          <w:rFonts w:hint="eastAsia" w:ascii="宋体" w:eastAsia="宋体"/>
          <w:sz w:val="44"/>
          <w:szCs w:val="44"/>
          <w:lang w:eastAsia="zh-CN"/>
        </w:rPr>
      </w:pPr>
      <w:r>
        <w:rPr>
          <w:rFonts w:hint="eastAsia" w:ascii="宋体" w:hAnsi="Times New Roman" w:eastAsia="宋体" w:cs="Times New Roman"/>
          <w:b/>
          <w:bCs w:val="0"/>
          <w:kern w:val="2"/>
          <w:sz w:val="28"/>
          <w:szCs w:val="28"/>
          <w:lang w:val="en-US" w:eastAsia="zh-CN" w:bidi="ar-SA"/>
        </w:rPr>
        <w:t>评标办法（***法）</w:t>
      </w:r>
    </w:p>
    <w:p>
      <w:pPr>
        <w:pStyle w:val="7"/>
        <w:rPr>
          <w:rFonts w:ascii="宋体"/>
          <w:sz w:val="44"/>
          <w:szCs w:val="44"/>
        </w:rPr>
      </w:pPr>
      <w:r>
        <w:rPr>
          <w:sz w:val="28"/>
        </w:rPr>
        <mc:AlternateContent>
          <mc:Choice Requires="wps">
            <w:drawing>
              <wp:anchor distT="0" distB="0" distL="114300" distR="114300" simplePos="0" relativeHeight="251667456" behindDoc="0" locked="0" layoutInCell="1" allowOverlap="1">
                <wp:simplePos x="0" y="0"/>
                <wp:positionH relativeFrom="column">
                  <wp:posOffset>1833880</wp:posOffset>
                </wp:positionH>
                <wp:positionV relativeFrom="paragraph">
                  <wp:posOffset>143510</wp:posOffset>
                </wp:positionV>
                <wp:extent cx="2372995" cy="1127125"/>
                <wp:effectExtent l="12700" t="12700" r="14605" b="22225"/>
                <wp:wrapNone/>
                <wp:docPr id="1" name="矩形 1"/>
                <wp:cNvGraphicFramePr/>
                <a:graphic xmlns:a="http://schemas.openxmlformats.org/drawingml/2006/main">
                  <a:graphicData uri="http://schemas.microsoft.com/office/word/2010/wordprocessingShape">
                    <wps:wsp>
                      <wps:cNvSpPr/>
                      <wps:spPr>
                        <a:xfrm>
                          <a:off x="934720" y="929640"/>
                          <a:ext cx="2372995" cy="1127125"/>
                        </a:xfrm>
                        <a:prstGeom prst="rect">
                          <a:avLst/>
                        </a:prstGeom>
                        <a:solidFill>
                          <a:srgbClr val="FFFFFF"/>
                        </a:solidFill>
                        <a:ln w="25400" cap="flat" cmpd="sng" algn="ctr">
                          <a:solidFill>
                            <a:srgbClr val="F79646"/>
                          </a:solidFill>
                          <a:prstDash val="solid"/>
                        </a:ln>
                        <a:effectLst/>
                      </wps:spPr>
                      <wps:txb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国家发改委及行业主管部门发布的标准招标文件评标办法正文。</w:t>
                            </w:r>
                          </w:p>
                          <w:p>
                            <w:pPr>
                              <w:jc w:val="left"/>
                              <w:rPr>
                                <w:rFonts w:hint="eastAsia"/>
                                <w:lang w:eastAsia="zh-CN"/>
                              </w:rPr>
                            </w:pPr>
                            <w:r>
                              <w:rPr>
                                <w:rFonts w:hint="eastAsia"/>
                                <w:b/>
                                <w:bCs/>
                                <w:lang w:eastAsia="zh-CN"/>
                              </w:rPr>
                              <w:t>或自行插入相关内容。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4pt;margin-top:11.3pt;height:88.75pt;width:186.85pt;z-index:251667456;v-text-anchor:middle;mso-width-relative:page;mso-height-relative:page;" fillcolor="#FFFFFF" filled="t" stroked="t" coordsize="21600,21600" o:gfxdata="UEsDBAoAAAAAAIdO4kAAAAAAAAAAAAAAAAAEAAAAZHJzL1BLAwQUAAAACACHTuJAWIF/fNgAAAAK&#10;AQAADwAAAGRycy9kb3ducmV2LnhtbE2PQUvEMBCF74L/IYzgzU1aMNRu00UFDyII3VW8ZpvZtGyT&#10;lCbb1n/veNLbzJvHe99Uu9UNbMYp9sEryDYCGPo2mN5bBR+Hl7sCWEzaGz0Ejwq+McKuvr6qdGnC&#10;4huc98kyCvGx1Aq6lMaS89h26HTchBE93U5hcjrROlluJr1QuBt4LoTkTveeGjo94nOH7Xl/cQqW&#10;vvl6xTnI8fF9PdtP0zy82Selbm8ysQWWcE1/ZvjFJ3SoiekYLt5ENijIi4LQEw25BEYGKfN7YEcS&#10;hMiA1xX//0L9A1BLAwQUAAAACACHTuJAUVadKXoCAAABBQAADgAAAGRycy9lMm9Eb2MueG1srVRL&#10;btswEN0X6B0I7htZih3XRuTAiOGiQNAESIuuaYqyBPBXkracXqZAdz1EjlP0Gn2klG+zyKJe0DOa&#10;0ZuZxzc6PTsoSfbC+dbokuZHI0qE5qZq9bakXz6v372nxAemKyaNFiW9EZ6eLd6+Oe3sXBSmMbIS&#10;jgBE+3lnS9qEYOdZ5nkjFPNHxgqNYG2cYgGu22aVYx3QlcyK0egk64yrrDNceI+nqz5IB0T3GkBT&#10;1y0XK8N3SujQozohWcBIvmmtp4vUbV0LHi7r2otAZEkxaUgnisDexDNbnLL51jHbtHxogb2mhWcz&#10;KdZqFL2HWrHAyM61/0CpljvjTR2OuFFZP0hiBFPko2fcXDfMijQLqPb2nnT//2D5p/2VI20FJVCi&#10;mcKF//nx6/ftT5JHbjrr50i5tldu8DzMOOihdir+YwRyKOnseDwtQOoNzGJ2Mh6YFYdAOMLF8bSY&#10;zSaUcCTkeTHNi0nEzx6ArPPhgzCKRKOkDleXGGX7Cx/61LuUWNcb2VbrVsrkuO3mXDqyZ7jmdfoN&#10;6E/SpCYdepmMR+iUM4i3hmhgKgsCvN5SwuQWW8GDS7WfvO2fFJliyJOXisQmV8w3fTMJYUiTOvYq&#10;kiqHmSK/PaPRCofNYaB5Y6obXIwzvWK95esWwBfMhyvmIFFMgCUOlzhqaTCWGSxKGuO+v/Q85kM5&#10;iFLSQfIY+duOOUGJ/KihqVk+xr2RkJzxJN2nexzZPI7onTo3oBu6QXfJxMsuyDuzdkZ9xa4vY1WE&#10;mOao3ZM7OOehX0V8LbhYLlMa9sKycKGvLY/gkTJtlrtg6jbJIBLVswP5RAebkYQ0bHFcvcd+ynr4&#10;ci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iBf3zYAAAACgEAAA8AAAAAAAAAAQAgAAAAIgAA&#10;AGRycy9kb3ducmV2LnhtbFBLAQIUABQAAAAIAIdO4kBRVp0pegIAAAEFAAAOAAAAAAAAAAEAIAAA&#10;ACcBAABkcnMvZTJvRG9jLnhtbFBLBQYAAAAABgAGAFkBAAATBgAAAAA=&#10;">
                <v:fill on="t" focussize="0,0"/>
                <v:stroke weight="2pt" color="#F79646"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国家发改委及行业主管部门发布的标准招标文件评标办法正文。</w:t>
                      </w:r>
                    </w:p>
                    <w:p>
                      <w:pPr>
                        <w:jc w:val="left"/>
                        <w:rPr>
                          <w:rFonts w:hint="eastAsia"/>
                          <w:lang w:eastAsia="zh-CN"/>
                        </w:rPr>
                      </w:pPr>
                      <w:r>
                        <w:rPr>
                          <w:rFonts w:hint="eastAsia"/>
                          <w:b/>
                          <w:bCs/>
                          <w:lang w:eastAsia="zh-CN"/>
                        </w:rPr>
                        <w:t>或自行插入相关内容。</w:t>
                      </w:r>
                    </w:p>
                  </w:txbxContent>
                </v:textbox>
              </v:rect>
            </w:pict>
          </mc:Fallback>
        </mc:AlternateContent>
      </w: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rPr>
          <w:rFonts w:hint="eastAsia"/>
        </w:rPr>
      </w:pPr>
      <w:bookmarkStart w:id="56" w:name="_Toc42601972"/>
      <w:bookmarkStart w:id="57" w:name="_Toc265483667"/>
      <w:r>
        <w:rPr>
          <w:rFonts w:hint="eastAsia"/>
        </w:rPr>
        <w:br w:type="page"/>
      </w:r>
    </w:p>
    <w:p>
      <w:pPr>
        <w:pStyle w:val="2"/>
        <w:spacing w:beforeLines="0" w:afterLines="0"/>
      </w:pPr>
      <w:r>
        <w:rPr>
          <w:rFonts w:hint="eastAsia"/>
        </w:rPr>
        <w:t>第四章  合同条款及格式</w:t>
      </w:r>
      <w:bookmarkEnd w:id="51"/>
      <w:bookmarkEnd w:id="52"/>
      <w:bookmarkEnd w:id="53"/>
      <w:bookmarkEnd w:id="54"/>
      <w:bookmarkEnd w:id="55"/>
      <w:bookmarkEnd w:id="56"/>
      <w:bookmarkEnd w:id="57"/>
    </w:p>
    <w:p>
      <w:pPr>
        <w:rPr>
          <w:rFonts w:ascii="宋体"/>
        </w:rPr>
      </w:pPr>
    </w:p>
    <w:p>
      <w:pPr>
        <w:rPr>
          <w:rFonts w:ascii="宋体"/>
        </w:rPr>
      </w:pPr>
    </w:p>
    <w:p>
      <w:pPr>
        <w:jc w:val="center"/>
        <w:rPr>
          <w:rFonts w:ascii="宋体"/>
        </w:rPr>
      </w:pPr>
      <w:r>
        <w:rPr>
          <w:rFonts w:ascii="宋体"/>
        </w:rPr>
        <w:br w:type="page"/>
      </w:r>
      <w:bookmarkStart w:id="58" w:name="_Toc234349530"/>
      <w:bookmarkStart w:id="59" w:name="_Toc234345798"/>
      <w:bookmarkStart w:id="60" w:name="_Toc234346090"/>
      <w:bookmarkStart w:id="61" w:name="_Toc234349429"/>
      <w:bookmarkStart w:id="62" w:name="_Toc234345875"/>
      <w:bookmarkStart w:id="63" w:name="_Toc234348956"/>
      <w:bookmarkStart w:id="64" w:name="_Toc234348855"/>
      <w:bookmarkStart w:id="65" w:name="_Toc234346013"/>
    </w:p>
    <w:p>
      <w:pPr>
        <w:jc w:val="center"/>
        <w:rPr>
          <w:rFonts w:ascii="宋体"/>
          <w:b/>
          <w:sz w:val="28"/>
          <w:szCs w:val="28"/>
        </w:rPr>
      </w:pPr>
      <w:r>
        <w:rPr>
          <w:rFonts w:hint="eastAsia" w:ascii="宋体" w:hAnsi="宋体"/>
          <w:b/>
          <w:sz w:val="32"/>
          <w:szCs w:val="32"/>
        </w:rPr>
        <w:sym w:font="Wingdings" w:char="00A8"/>
      </w:r>
      <w:r>
        <w:rPr>
          <w:rFonts w:hint="eastAsia" w:ascii="宋体" w:hAnsi="宋体"/>
          <w:b/>
          <w:sz w:val="32"/>
          <w:szCs w:val="32"/>
          <w:u w:val="single"/>
          <w:lang w:val="en-US" w:eastAsia="zh-CN"/>
        </w:rPr>
        <w:t xml:space="preserve"> </w:t>
      </w:r>
      <w:r>
        <w:rPr>
          <w:rFonts w:hint="eastAsia" w:ascii="宋体" w:hAnsi="宋体"/>
          <w:b/>
          <w:sz w:val="32"/>
          <w:szCs w:val="32"/>
          <w:u w:val="single"/>
        </w:rPr>
        <w:t>第一节  通用合同条款</w:t>
      </w:r>
    </w:p>
    <w:p>
      <w:pPr>
        <w:jc w:val="center"/>
        <w:rPr>
          <w:rFonts w:ascii="宋体"/>
          <w:b/>
          <w:sz w:val="28"/>
          <w:szCs w:val="28"/>
        </w:rPr>
      </w:pPr>
    </w:p>
    <w:p>
      <w:pPr>
        <w:jc w:val="center"/>
        <w:rPr>
          <w:rFonts w:hint="eastAsia" w:ascii="宋体" w:hAnsi="宋体"/>
          <w:b/>
          <w:sz w:val="32"/>
          <w:szCs w:val="32"/>
        </w:rPr>
      </w:pPr>
      <w:r>
        <w:rPr>
          <w:sz w:val="28"/>
        </w:rPr>
        <mc:AlternateContent>
          <mc:Choice Requires="wps">
            <w:drawing>
              <wp:anchor distT="0" distB="0" distL="114300" distR="114300" simplePos="0" relativeHeight="251661312" behindDoc="0" locked="0" layoutInCell="1" allowOverlap="1">
                <wp:simplePos x="0" y="0"/>
                <wp:positionH relativeFrom="column">
                  <wp:posOffset>1675130</wp:posOffset>
                </wp:positionH>
                <wp:positionV relativeFrom="paragraph">
                  <wp:posOffset>53975</wp:posOffset>
                </wp:positionV>
                <wp:extent cx="2372995" cy="1127125"/>
                <wp:effectExtent l="12700" t="12700" r="14605" b="22225"/>
                <wp:wrapNone/>
                <wp:docPr id="9" name="矩形 9"/>
                <wp:cNvGraphicFramePr/>
                <a:graphic xmlns:a="http://schemas.openxmlformats.org/drawingml/2006/main">
                  <a:graphicData uri="http://schemas.microsoft.com/office/word/2010/wordprocessingShape">
                    <wps:wsp>
                      <wps:cNvSpPr/>
                      <wps:spPr>
                        <a:xfrm>
                          <a:off x="934720" y="92964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国家发改委及行业主管部门发布的通用合同条款。</w:t>
                            </w:r>
                          </w:p>
                          <w:p>
                            <w:pPr>
                              <w:jc w:val="left"/>
                              <w:rPr>
                                <w:rFonts w:hint="eastAsia"/>
                                <w:lang w:eastAsia="zh-CN"/>
                              </w:rPr>
                            </w:pPr>
                            <w:r>
                              <w:rPr>
                                <w:rFonts w:hint="eastAsia"/>
                                <w:b/>
                                <w:bCs/>
                                <w:lang w:eastAsia="zh-CN"/>
                              </w:rPr>
                              <w:t>或自行插入相关内容。</w:t>
                            </w: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9pt;margin-top:4.25pt;height:88.75pt;width:186.85pt;z-index:251661312;v-text-anchor:middle;mso-width-relative:page;mso-height-relative:page;" fillcolor="#FFFFFF [3201]" filled="t" stroked="t" coordsize="21600,21600" o:gfxdata="UEsDBAoAAAAAAIdO4kAAAAAAAAAAAAAAAAAEAAAAZHJzL1BLAwQUAAAACACHTuJARUQDntgAAAAJ&#10;AQAADwAAAGRycy9kb3ducmV2LnhtbE2PQUvEMBCF74L/IYzgzU12F2utTRcVPIggdFW8ZpsxLdtM&#10;SpNt6793POntDe/x3jflbvG9mHCMXSAN65UCgdQE25HT8P72dJWDiMmQNX0g1PCNEXbV+VlpChtm&#10;qnHaJye4hGJhNLQpDYWUsWnRm7gKAxJ7X2H0JvE5OmlHM3O57+VGqUx60xEvtGbAxxab4/7kNcxd&#10;/fmMU8iG+9fl6D5sffviHrS+vFirOxAJl/QXhl98RoeKmQ7hRDaKXsMm2zJ60pBfg2A/296wOHAw&#10;zxTIqpT/P6h+AFBLAwQUAAAACACHTuJAhrVl/XQCAADzBAAADgAAAGRycy9lMm9Eb2MueG1srVRL&#10;btswEN0X6B0I7htZih3XRuTAiOGiQNAESIuuaYqyBPBXkracXqZAdz1EjlP0Gn2klG+zyKJe0DOa&#10;4ZuZNzM8PTsoSfbC+dbokuZHI0qE5qZq9bakXz6v372nxAemKyaNFiW9EZ6eLd6+Oe3sXBSmMbIS&#10;jgBE+3lnS9qEYOdZ5nkjFPNHxgoNY22cYgGq22aVYx3QlcyK0egk64yrrDNceI+vq95IB0T3GkBT&#10;1y0XK8N3SujQozohWUBJvmmtp4uUbV0LHi7r2otAZElRaUgngkDexDNbnLL51jHbtHxIgb0mhWc1&#10;KdZqBL2HWrHAyM61/0CpljvjTR2OuFFZX0hiBFXko2fcXDfMilQLqPb2nnT//2D5p/2VI21V0hkl&#10;mik0/M+PX79vf5JZ5Kazfg6Xa3vlBs1DjIUeaqfiP0ogB9w+Hk8LkHoDsZidjAdmxSEQDnNxPC1m&#10;swklHA55XkzzYhLxswcg63z4IIwiUSipQ+sSo2x/4UPveucS43oj22rdSpkUt92cS0f2DG1ep9+A&#10;/sRNatIhl8l4hEw5w/DWGBqIyoIAr7eUMLnFVvDgUuwnt/2TIFMUefJSkJjkivmmTyYhDG5So+DI&#10;aM9hlMJhcxiI3ZjqBq1wpp9Rb/m6BdQF8+GKOQwlcsbahksctTQoxAwSJY1x31/6Hv0xK7BS0mHI&#10;UeS3HXOCEvlRY4pm+RidIiEp40nqoHts2Ty26J06NyA4xwNheRJx2QV5J9bOqK/Y7mWMChPTHLF7&#10;OgflPPTLh/eBi+UyuWETLAsX+tryCB4bqs1yF0zdpsZHonp2Bv6wC2l0hr2Ny/ZYT14Pb9X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VEA57YAAAACQEAAA8AAAAAAAAAAQAgAAAAIgAAAGRycy9k&#10;b3ducmV2LnhtbFBLAQIUABQAAAAIAIdO4kCGtWX9dAIAAPMEAAAOAAAAAAAAAAEAIAAAACcBAABk&#10;cnMvZTJvRG9jLnhtbFBLBQYAAAAABgAGAFkBAAANBgAAAAA=&#10;">
                <v:fill on="t" focussize="0,0"/>
                <v:stroke weight="2pt" color="#F79646 [3209]"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国家发改委及行业主管部门发布的通用合同条款。</w:t>
                      </w:r>
                    </w:p>
                    <w:p>
                      <w:pPr>
                        <w:jc w:val="left"/>
                        <w:rPr>
                          <w:rFonts w:hint="eastAsia"/>
                          <w:lang w:eastAsia="zh-CN"/>
                        </w:rPr>
                      </w:pPr>
                      <w:r>
                        <w:rPr>
                          <w:rFonts w:hint="eastAsia"/>
                          <w:b/>
                          <w:bCs/>
                          <w:lang w:eastAsia="zh-CN"/>
                        </w:rPr>
                        <w:t>或自行插入相关内容。</w:t>
                      </w:r>
                    </w:p>
                    <w:p>
                      <w:pPr>
                        <w:jc w:val="center"/>
                        <w:rPr>
                          <w:rFonts w:hint="eastAsia"/>
                          <w:lang w:eastAsia="zh-CN"/>
                        </w:rPr>
                      </w:pPr>
                    </w:p>
                  </w:txbxContent>
                </v:textbox>
              </v:rect>
            </w:pict>
          </mc:Fallback>
        </mc:AlternateContent>
      </w: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sym w:font="Wingdings" w:char="00A8"/>
      </w:r>
      <w:r>
        <w:rPr>
          <w:rFonts w:hint="eastAsia" w:ascii="宋体" w:hAnsi="宋体"/>
          <w:b/>
          <w:sz w:val="32"/>
          <w:szCs w:val="32"/>
          <w:u w:val="single"/>
          <w:lang w:val="en-US" w:eastAsia="zh-CN"/>
        </w:rPr>
        <w:t xml:space="preserve"> </w:t>
      </w:r>
      <w:r>
        <w:rPr>
          <w:rFonts w:hint="eastAsia" w:ascii="宋体" w:hAnsi="宋体"/>
          <w:b/>
          <w:sz w:val="32"/>
          <w:szCs w:val="32"/>
          <w:u w:val="single"/>
        </w:rPr>
        <w:t>第</w:t>
      </w:r>
      <w:r>
        <w:rPr>
          <w:rFonts w:hint="eastAsia" w:ascii="宋体" w:hAnsi="宋体"/>
          <w:b/>
          <w:sz w:val="32"/>
          <w:szCs w:val="32"/>
          <w:u w:val="single"/>
          <w:lang w:eastAsia="zh-CN"/>
        </w:rPr>
        <w:t>二</w:t>
      </w:r>
      <w:r>
        <w:rPr>
          <w:rFonts w:hint="eastAsia" w:ascii="宋体" w:hAnsi="宋体"/>
          <w:b/>
          <w:sz w:val="32"/>
          <w:szCs w:val="32"/>
          <w:u w:val="single"/>
        </w:rPr>
        <w:t xml:space="preserve">节  </w:t>
      </w:r>
      <w:r>
        <w:rPr>
          <w:rFonts w:hint="eastAsia" w:ascii="宋体" w:hAnsi="宋体"/>
          <w:b/>
          <w:sz w:val="32"/>
          <w:szCs w:val="32"/>
          <w:u w:val="single"/>
          <w:lang w:eastAsia="zh-CN"/>
        </w:rPr>
        <w:t>专</w:t>
      </w:r>
      <w:r>
        <w:rPr>
          <w:rFonts w:hint="eastAsia" w:ascii="宋体" w:hAnsi="宋体"/>
          <w:b/>
          <w:sz w:val="32"/>
          <w:szCs w:val="32"/>
          <w:u w:val="single"/>
        </w:rPr>
        <w:t>用合同条款</w:t>
      </w:r>
    </w:p>
    <w:p>
      <w:pPr>
        <w:spacing w:line="360" w:lineRule="auto"/>
        <w:jc w:val="center"/>
        <w:rPr>
          <w:rFonts w:hint="eastAsia" w:ascii="宋体" w:eastAsia="宋体"/>
          <w:b/>
          <w:sz w:val="28"/>
          <w:szCs w:val="28"/>
          <w:lang w:val="en-US" w:eastAsia="zh-CN"/>
        </w:rPr>
      </w:pPr>
    </w:p>
    <w:p>
      <w:pPr>
        <w:jc w:val="center"/>
        <w:rPr>
          <w:sz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1588135</wp:posOffset>
                </wp:positionH>
                <wp:positionV relativeFrom="paragraph">
                  <wp:posOffset>19685</wp:posOffset>
                </wp:positionV>
                <wp:extent cx="2372995" cy="1127125"/>
                <wp:effectExtent l="12700" t="12700" r="14605" b="22225"/>
                <wp:wrapNone/>
                <wp:docPr id="13" name="矩形 13"/>
                <wp:cNvGraphicFramePr/>
                <a:graphic xmlns:a="http://schemas.openxmlformats.org/drawingml/2006/main">
                  <a:graphicData uri="http://schemas.microsoft.com/office/word/2010/wordprocessingShape">
                    <wps:wsp>
                      <wps:cNvSpPr/>
                      <wps:spPr>
                        <a:xfrm>
                          <a:off x="934720" y="92964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国家发改委及行业主管部门发布的专用合同条款。</w:t>
                            </w:r>
                          </w:p>
                          <w:p>
                            <w:pPr>
                              <w:jc w:val="left"/>
                              <w:rPr>
                                <w:rFonts w:hint="eastAsia"/>
                                <w:lang w:eastAsia="zh-CN"/>
                              </w:rPr>
                            </w:pPr>
                            <w:r>
                              <w:rPr>
                                <w:rFonts w:hint="eastAsia"/>
                                <w:b/>
                                <w:bCs/>
                                <w:lang w:eastAsia="zh-CN"/>
                              </w:rPr>
                              <w:t>或自行插入相关内容。</w:t>
                            </w: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55pt;height:88.75pt;width:186.85pt;z-index:251662336;v-text-anchor:middle;mso-width-relative:page;mso-height-relative:page;" fillcolor="#FFFFFF [3201]" filled="t" stroked="t" coordsize="21600,21600" o:gfxdata="UEsDBAoAAAAAAIdO4kAAAAAAAAAAAAAAAAAEAAAAZHJzL1BLAwQUAAAACACHTuJAhjFsbdgAAAAJ&#10;AQAADwAAAGRycy9kb3ducmV2LnhtbE2PQUvDQBCF74L/YRnBm91NiqGm2RQVPIggpCq9brNjEpqd&#10;DdltEv+948mehsf7ePNesVtcLyYcQ+dJQ7JSIJBqbztqNHx+vNxtQIRoyJreE2r4wQC78vqqMLn1&#10;M1U47WMjOIRCbjS0MQ65lKFu0Zmw8gMSe99+dCayHBtpRzNzuOtlqlQmnemIP7RmwOcW69P+7DTM&#10;XXV4xclnw+P7cmq+bPXw1jxpfXuTqC2IiEv8h+GvPleHkjsd/ZlsEL2G9F4ljGpY82E/S9c85cjg&#10;RmUgy0JeLih/AVBLAwQUAAAACACHTuJAcvcBQXYCAAD1BAAADgAAAGRycy9lMm9Eb2MueG1srVRL&#10;btswEN0X6B0I7htZih3XRuTAiOGiQNAESIuuaYqyBPBXkracXqZAdz1EjlP0Gn2klG+zyKJe0DOc&#10;0ZuZNzM8PTsoSfbC+dbokuZHI0qE5qZq9bakXz6v372nxAemKyaNFiW9EZ6eLd6+Oe3sXBSmMbIS&#10;jgBE+3lnS9qEYOdZ5nkjFPNHxgoNY22cYgGq22aVYx3QlcyK0egk64yrrDNceI/bVW+kA6J7DaCp&#10;65aLleE7JXToUZ2QLKAk37TW00XKtq4FD5d17UUgsqSoNKQTQSBv4pktTtl865htWj6kwF6TwrOa&#10;FGs1gt5DrVhgZOfaf6BUy53xpg5H3KisLyQxgiry0TNurhtmRaoFVHt7T7r/f7D80/7KkbbCJBxT&#10;oplCx//8+PX79ifBBdjprJ/D6dpeuUHzEGOph9qp+I8iyKGks+PxtACtNxCL2cl44FYcAuEwF8fT&#10;YjabUMLhkOfFNC8mET97ALLOhw/CKBKFkjo0L3HK9hc+9K53LjGuN7Kt1q2USXHbzbl0ZM/Q6HX6&#10;DehP3KQmHXKZjEfIlDOMb42xgagsKPB6SwmTW+wFDy7FfvK1fxJkiiJPXgoSk1wx3/TJJITBTWoU&#10;HBntOYxSOGwOA7EbU92gGc70U+otX7eAumA+XDGHsUTOWNxwiaOWBoWYQaKkMe77S/fRH9MCKyUd&#10;xhxFftsxJyiRHzXmaJaP0SkSkjKepA66x5bNY4veqXMDgnM8EZYnER+7IO/E2hn1Ffu9jFFhYpoj&#10;dk/noJyHfv3wQnCxXCY37IJl4UJfWx7BY0O1We6CqdvU+EhUz87AH7Yhjc6wuXHdHuvJ6+G1W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hjFsbdgAAAAJAQAADwAAAAAAAAABACAAAAAiAAAAZHJz&#10;L2Rvd25yZXYueG1sUEsBAhQAFAAAAAgAh07iQHL3AUF2AgAA9QQAAA4AAAAAAAAAAQAgAAAAJwEA&#10;AGRycy9lMm9Eb2MueG1sUEsFBgAAAAAGAAYAWQEAAA8GAAAAAA==&#10;">
                <v:fill on="t" focussize="0,0"/>
                <v:stroke weight="2pt" color="#F79646 [3209]"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国家发改委及行业主管部门发布的专用合同条款。</w:t>
                      </w:r>
                    </w:p>
                    <w:p>
                      <w:pPr>
                        <w:jc w:val="left"/>
                        <w:rPr>
                          <w:rFonts w:hint="eastAsia"/>
                          <w:lang w:eastAsia="zh-CN"/>
                        </w:rPr>
                      </w:pPr>
                      <w:r>
                        <w:rPr>
                          <w:rFonts w:hint="eastAsia"/>
                          <w:b/>
                          <w:bCs/>
                          <w:lang w:eastAsia="zh-CN"/>
                        </w:rPr>
                        <w:t>或自行插入相关内容。</w:t>
                      </w:r>
                    </w:p>
                    <w:p>
                      <w:pPr>
                        <w:jc w:val="center"/>
                        <w:rPr>
                          <w:rFonts w:hint="eastAsia"/>
                          <w:lang w:eastAsia="zh-CN"/>
                        </w:rPr>
                      </w:pPr>
                    </w:p>
                  </w:txbxContent>
                </v:textbox>
              </v:rect>
            </w:pict>
          </mc:Fallback>
        </mc:AlternateContent>
      </w: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hint="eastAsia" w:ascii="宋体" w:hAnsi="宋体" w:eastAsia="宋体"/>
          <w:b/>
          <w:sz w:val="32"/>
          <w:szCs w:val="32"/>
          <w:lang w:eastAsia="zh-CN"/>
        </w:rPr>
      </w:pPr>
      <w:r>
        <w:rPr>
          <w:rFonts w:hint="eastAsia" w:ascii="宋体" w:hAnsi="宋体"/>
          <w:b/>
          <w:sz w:val="32"/>
          <w:szCs w:val="32"/>
        </w:rPr>
        <w:sym w:font="Wingdings" w:char="00A8"/>
      </w:r>
      <w:r>
        <w:rPr>
          <w:rFonts w:hint="eastAsia" w:ascii="宋体" w:hAnsi="宋体"/>
          <w:b/>
          <w:sz w:val="32"/>
          <w:szCs w:val="32"/>
          <w:u w:val="single"/>
          <w:lang w:val="en-US" w:eastAsia="zh-CN"/>
        </w:rPr>
        <w:t xml:space="preserve"> </w:t>
      </w:r>
      <w:r>
        <w:rPr>
          <w:rFonts w:hint="eastAsia" w:ascii="宋体" w:hAnsi="宋体"/>
          <w:b/>
          <w:sz w:val="32"/>
          <w:szCs w:val="32"/>
          <w:u w:val="single"/>
        </w:rPr>
        <w:t>第</w:t>
      </w:r>
      <w:r>
        <w:rPr>
          <w:rFonts w:hint="eastAsia" w:ascii="宋体" w:hAnsi="宋体"/>
          <w:b/>
          <w:sz w:val="32"/>
          <w:szCs w:val="32"/>
          <w:u w:val="single"/>
          <w:lang w:eastAsia="zh-CN"/>
        </w:rPr>
        <w:t>三</w:t>
      </w:r>
      <w:r>
        <w:rPr>
          <w:rFonts w:hint="eastAsia" w:ascii="宋体" w:hAnsi="宋体"/>
          <w:b/>
          <w:sz w:val="32"/>
          <w:szCs w:val="32"/>
          <w:u w:val="single"/>
        </w:rPr>
        <w:t>节  合同</w:t>
      </w:r>
      <w:r>
        <w:rPr>
          <w:rFonts w:hint="eastAsia" w:ascii="宋体" w:hAnsi="宋体"/>
          <w:b/>
          <w:sz w:val="32"/>
          <w:szCs w:val="32"/>
          <w:u w:val="single"/>
          <w:lang w:eastAsia="zh-CN"/>
        </w:rPr>
        <w:t>附件格式</w:t>
      </w:r>
    </w:p>
    <w:p>
      <w:pPr>
        <w:spacing w:line="360" w:lineRule="auto"/>
        <w:jc w:val="center"/>
        <w:rPr>
          <w:rFonts w:hint="eastAsia" w:ascii="宋体" w:eastAsia="宋体"/>
          <w:b/>
          <w:sz w:val="28"/>
          <w:szCs w:val="28"/>
          <w:lang w:val="en-US" w:eastAsia="zh-CN"/>
        </w:rPr>
      </w:pPr>
    </w:p>
    <w:p>
      <w:pPr>
        <w:jc w:val="center"/>
        <w:rPr>
          <w:rFonts w:ascii="宋体"/>
          <w:b/>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1579880</wp:posOffset>
                </wp:positionH>
                <wp:positionV relativeFrom="paragraph">
                  <wp:posOffset>36830</wp:posOffset>
                </wp:positionV>
                <wp:extent cx="2372995" cy="1127125"/>
                <wp:effectExtent l="12700" t="12700" r="14605" b="22225"/>
                <wp:wrapNone/>
                <wp:docPr id="11" name="矩形 11"/>
                <wp:cNvGraphicFramePr/>
                <a:graphic xmlns:a="http://schemas.openxmlformats.org/drawingml/2006/main">
                  <a:graphicData uri="http://schemas.microsoft.com/office/word/2010/wordprocessingShape">
                    <wps:wsp>
                      <wps:cNvSpPr/>
                      <wps:spPr>
                        <a:xfrm>
                          <a:off x="934720" y="92964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国家发改委及行业主管部门发布的合同附件格式。</w:t>
                            </w:r>
                          </w:p>
                          <w:p>
                            <w:pPr>
                              <w:jc w:val="left"/>
                              <w:rPr>
                                <w:rFonts w:hint="eastAsia"/>
                                <w:lang w:eastAsia="zh-CN"/>
                              </w:rPr>
                            </w:pPr>
                            <w:r>
                              <w:rPr>
                                <w:rFonts w:hint="eastAsia"/>
                                <w:b/>
                                <w:bCs/>
                                <w:lang w:eastAsia="zh-CN"/>
                              </w:rPr>
                              <w:t>或自行插入相关内容。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4pt;margin-top:2.9pt;height:88.75pt;width:186.85pt;z-index:251660288;v-text-anchor:middle;mso-width-relative:page;mso-height-relative:page;" fillcolor="#FFFFFF [3201]" filled="t" stroked="t" coordsize="21600,21600" o:gfxdata="UEsDBAoAAAAAAIdO4kAAAAAAAAAAAAAAAAAEAAAAZHJzL1BLAwQUAAAACACHTuJA+0Q0kdgAAAAJ&#10;AQAADwAAAGRycy9kb3ducmV2LnhtbE2PQUvEMBCF74L/IYzgzU2365Zamy4qeBBB6Kp4zTZjWraZ&#10;lCbb1n/veFpPj+E93vum3C2uFxOOofOkYL1KQCA13nRkFXy8P9/kIELUZHTvCRX8YIBddXlR6sL4&#10;mWqc9tEKLqFQaAVtjEMhZWhadDqs/IDE3rcfnY58jlaaUc9c7nqZJkkmne6IF1o94FOLzXF/cgrm&#10;rv56wclnw8PbcrSfpr57tY9KXV+tk3sQEZd4DsMfPqNDxUwHfyITRK8gvc0ZPSrYsrCfpekWxIGD&#10;+WYDsirl/w+qX1BLAwQUAAAACACHTuJAd5gY5HUCAAD1BAAADgAAAGRycy9lMm9Eb2MueG1srVRL&#10;btswEN0X6B0I7htZih3XRuTAiOGiQNAESIuuaYqyBPBXkracXqZAdz1EjlP0Gn2klG+zyKJe0EPN&#10;6M28NzM6PTsoSfbC+dbokuZHI0qE5qZq9bakXz6v372nxAemKyaNFiW9EZ6eLd6+Oe3sXBSmMbIS&#10;jgBE+3lnS9qEYOdZ5nkjFPNHxgoNZ22cYgFXt80qxzqgK5kVo9FJ1hlXWWe48B5PV72TDojuNYCm&#10;rlsuVobvlNChR3VCsgBKvmmtp4tUbV0LHi7r2otAZEnBNKQTSWBv4pktTtl865htWj6UwF5TwjNO&#10;irUaSe+hViwwsnPtP1Cq5c54U4cjblTWE0mKgEU+eqbNdcOsSFwgtbf3ovv/B8s/7a8caStMQk6J&#10;Zgod//Pj1+/bnwQPoE5n/RxB1/bKDTcPM1I91E7Ff5Agh5LOjsfTArLewCxmJ+NBW3EIhMNdHE+L&#10;2WxCCUdAnhfTvJhE/OwByDofPgijSDRK6tC8pCnbX/jQh96FxLzeyLZat1Kmi9tuzqUje4ZGr9Nv&#10;QH8SJjXpUMtkPEKlnGF8a4wNTGUhgddbSpjcYi94cCn3k7f9kyRTkDx5KUkscsV80xeTEIYwqUE4&#10;KtprGK1w2BwGYTemukEznOmn1Fu+bgF1wXy4Yg5jiZqxuOESRy0NiJjBoqQx7vtLz2M8pgVeSjqM&#10;OUh+2zEnKJEfNeZolo/RKRLSZTxJHXSPPZvHHr1T5wYCY1RQXTLxsgvyzqydUV+x38uYFS6mOXL3&#10;cg6X89CvH74QXCyXKQy7YFm40NeWR/DYUG2Wu2DqNjU+CtWrM+iHbUijM2xuXLfH9xT18LV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7RDSR2AAAAAkBAAAPAAAAAAAAAAEAIAAAACIAAABkcnMv&#10;ZG93bnJldi54bWxQSwECFAAUAAAACACHTuJAd5gY5HUCAAD1BAAADgAAAAAAAAABACAAAAAnAQAA&#10;ZHJzL2Uyb0RvYy54bWxQSwUGAAAAAAYABgBZAQAADgYAAAAA&#10;">
                <v:fill on="t" focussize="0,0"/>
                <v:stroke weight="2pt" color="#F79646 [3209]"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国家发改委及行业主管部门发布的合同附件格式。</w:t>
                      </w:r>
                    </w:p>
                    <w:p>
                      <w:pPr>
                        <w:jc w:val="left"/>
                        <w:rPr>
                          <w:rFonts w:hint="eastAsia"/>
                          <w:lang w:eastAsia="zh-CN"/>
                        </w:rPr>
                      </w:pPr>
                      <w:r>
                        <w:rPr>
                          <w:rFonts w:hint="eastAsia"/>
                          <w:b/>
                          <w:bCs/>
                          <w:lang w:eastAsia="zh-CN"/>
                        </w:rPr>
                        <w:t>或自行插入相关内容。</w:t>
                      </w:r>
                    </w:p>
                  </w:txbxContent>
                </v:textbox>
              </v:rect>
            </w:pict>
          </mc:Fallback>
        </mc:AlternateContent>
      </w: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b/>
          <w:sz w:val="24"/>
        </w:rPr>
      </w:pPr>
      <w:r>
        <w:rPr>
          <w:rFonts w:ascii="宋体"/>
          <w:b/>
          <w:sz w:val="24"/>
        </w:rPr>
        <w:br w:type="page"/>
      </w:r>
    </w:p>
    <w:p>
      <w:pPr>
        <w:jc w:val="center"/>
        <w:rPr>
          <w:rFonts w:ascii="宋体"/>
          <w:b/>
          <w:sz w:val="24"/>
        </w:rPr>
      </w:pPr>
    </w:p>
    <w:bookmarkEnd w:id="58"/>
    <w:bookmarkEnd w:id="59"/>
    <w:bookmarkEnd w:id="60"/>
    <w:bookmarkEnd w:id="61"/>
    <w:bookmarkEnd w:id="62"/>
    <w:bookmarkEnd w:id="63"/>
    <w:bookmarkEnd w:id="64"/>
    <w:bookmarkEnd w:id="65"/>
    <w:p>
      <w:pPr>
        <w:spacing w:line="380" w:lineRule="exact"/>
        <w:rPr>
          <w:rFonts w:ascii="宋体" w:hAnsi="宋体"/>
          <w:sz w:val="36"/>
          <w:szCs w:val="36"/>
        </w:rPr>
      </w:pPr>
      <w:bookmarkStart w:id="66" w:name="_Toc234350675"/>
      <w:bookmarkStart w:id="67" w:name="_Toc265483668"/>
      <w:bookmarkStart w:id="68" w:name="_Toc234345893"/>
      <w:bookmarkStart w:id="69" w:name="_Toc234348974"/>
      <w:bookmarkStart w:id="70" w:name="_Toc234349548"/>
      <w:bookmarkStart w:id="71" w:name="_Toc234346108"/>
    </w:p>
    <w:p>
      <w:pPr>
        <w:spacing w:line="380" w:lineRule="exact"/>
        <w:rPr>
          <w:rFonts w:ascii="宋体" w:hAnsi="宋体"/>
          <w:sz w:val="36"/>
          <w:szCs w:val="36"/>
        </w:rPr>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rPr>
          <w:rFonts w:hint="eastAsia"/>
          <w:u w:val="single"/>
          <w:lang w:val="en-US" w:eastAsia="zh-CN"/>
        </w:rPr>
      </w:pPr>
      <w:bookmarkStart w:id="72" w:name="_Toc42601973"/>
      <w:r>
        <w:rPr>
          <w:rFonts w:hint="eastAsia"/>
        </w:rPr>
        <w:t>第</w:t>
      </w:r>
      <w:r>
        <w:rPr>
          <w:rFonts w:hint="eastAsia"/>
          <w:u w:val="single"/>
          <w:lang w:val="en-US" w:eastAsia="zh-CN"/>
        </w:rPr>
        <w:t>**</w:t>
      </w:r>
      <w:r>
        <w:rPr>
          <w:rFonts w:hint="eastAsia"/>
        </w:rPr>
        <w:t xml:space="preserve">章  </w:t>
      </w:r>
      <w:bookmarkEnd w:id="66"/>
      <w:bookmarkEnd w:id="67"/>
      <w:bookmarkEnd w:id="68"/>
      <w:bookmarkEnd w:id="69"/>
      <w:bookmarkEnd w:id="70"/>
      <w:bookmarkEnd w:id="71"/>
      <w:bookmarkEnd w:id="72"/>
      <w:r>
        <w:rPr>
          <w:rFonts w:hint="eastAsia"/>
          <w:u w:val="single"/>
          <w:lang w:val="en-US" w:eastAsia="zh-CN"/>
        </w:rPr>
        <w:t>*************</w:t>
      </w:r>
    </w:p>
    <w:p>
      <w:pPr>
        <w:rPr>
          <w:rFonts w:hint="eastAsia"/>
          <w:u w:val="single"/>
          <w:lang w:val="en-US" w:eastAsia="zh-CN"/>
        </w:rPr>
      </w:pPr>
    </w:p>
    <w:p>
      <w:pPr>
        <w:spacing w:line="360" w:lineRule="auto"/>
        <w:jc w:val="center"/>
        <w:rPr>
          <w:rFonts w:hint="eastAsia" w:ascii="宋体" w:eastAsia="宋体"/>
          <w:b/>
          <w:sz w:val="28"/>
          <w:szCs w:val="28"/>
          <w:lang w:val="en-US" w:eastAsia="zh-CN"/>
        </w:rPr>
      </w:pPr>
    </w:p>
    <w:p>
      <w:pPr>
        <w:jc w:val="center"/>
        <w:rPr>
          <w:sz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1841500</wp:posOffset>
                </wp:positionH>
                <wp:positionV relativeFrom="paragraph">
                  <wp:posOffset>125095</wp:posOffset>
                </wp:positionV>
                <wp:extent cx="2372995" cy="1127125"/>
                <wp:effectExtent l="12700" t="12700" r="14605" b="22225"/>
                <wp:wrapNone/>
                <wp:docPr id="14" name="矩形 14"/>
                <wp:cNvGraphicFramePr/>
                <a:graphic xmlns:a="http://schemas.openxmlformats.org/drawingml/2006/main">
                  <a:graphicData uri="http://schemas.microsoft.com/office/word/2010/wordprocessingShape">
                    <wps:wsp>
                      <wps:cNvSpPr/>
                      <wps:spPr>
                        <a:xfrm>
                          <a:off x="0" y="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自行插入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5pt;margin-top:9.85pt;height:88.75pt;width:186.85pt;z-index:251663360;v-text-anchor:middle;mso-width-relative:page;mso-height-relative:page;" fillcolor="#FFFFFF [3201]" filled="t" stroked="t" coordsize="21600,21600" o:gfxdata="UEsDBAoAAAAAAIdO4kAAAAAAAAAAAAAAAAAEAAAAZHJzL1BLAwQUAAAACACHTuJAGd6CSdgAAAAK&#10;AQAADwAAAGRycy9kb3ducmV2LnhtbE2PQUvEMBCF74L/IYzgzU23QrXdposKHkQQuip7zTZjWraZ&#10;lCbb1n/v6MW9zcx7vPleuV1cLyYcQ+dJwXqVgEBqvOnIKvh4f765BxGiJqN7T6jgGwNsq8uLUhfG&#10;z1TjtItWcAiFQitoYxwKKUPTotNh5Qck1r786HTkdbTSjHrmcNfLNEky6XRH/KHVAz612Bx3J6dg&#10;7ur9C04+Gx7elqP9NHX+ah+Vur5aJxsQEZf4b4ZffEaHipkO/kQmiF5BmifcJbKQ34FgQ5bd8nD4&#10;O6Qgq1KeV6h+AFBLAwQUAAAACACHTuJAJbOyTW0CAADrBAAADgAAAGRycy9lMm9Eb2MueG1srVTN&#10;jhMxDL4j8Q5R7ux0hnZLq7arqlUR0oqttCDOaSbpRMofTtrp8jJI3HgIHgfxGjiZ2V/2sAd6SO3Y&#10;89n+bGd2cTKaHAUE5eyclmcDSoTlrlZ2P6efP23evKMkRGZrpp0Vc3ojAr1YvH41a/1UVK5xuhZA&#10;EMSGaevntInRT4si8EYYFs6cFxaN0oFhEVXYFzWwFtGNLqrB4LxoHdQeHBch4O26M9IeEV4C6KRU&#10;XKwdPxhhY4cKQrOIJYVG+UAXOVspBY9XUgYRiZ5TrDTmE4OgvEtnsZix6R6YbxTvU2AvSeFJTYYp&#10;i0HvoNYsMnIA9Q+UURxccDKecWeKrpDMCFZRDp5wc90wL3ItSHXwd6SH/wfLPx63QFSNkzCkxDKD&#10;Hf/z/efvXz8IXiA7rQ9TdLr2W+i1gGIq9STBpH8sgpwyozd3jIpTJBwvq7fjajIZUcLRVpbVuKxG&#10;CbW4/9xDiO+FMyQJcwrYsswkO16G2LneuqRowWlVb5TWWYH9bqWBHBm2d5N/PfojN21Ji7mMhgNs&#10;O2c4tBKHBUXjsfBg95Qwvcdt4BFy7Edfh0dBxpPz4flzQVKSaxaaLpmM0LtpiwUnHjvmkhRPu1NP&#10;587VN9gCcN1sBs83CqEuWYhbBjiMmDOua7zCQ2qHhbheoqRx8O25++SPM4JWSlocbizy64GBoER/&#10;sDg9k3I4TNuQleFoXKECDy27hxZ7MCuHBJf4MHiexeQf9a0owZkvuNXLFBVNzHKM3dHZK6vYLR2+&#10;C1wsl9kNN8CzeGmvPU/gqaHWLQ/RSZUbn4jq2On5wx3Io9Pva1qyh3r2un+jF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d6CSdgAAAAKAQAADwAAAAAAAAABACAAAAAiAAAAZHJzL2Rvd25yZXYu&#10;eG1sUEsBAhQAFAAAAAgAh07iQCWzsk1tAgAA6wQAAA4AAAAAAAAAAQAgAAAAJwEAAGRycy9lMm9E&#10;b2MueG1sUEsFBgAAAAAGAAYAWQEAAAYGAAAAAA==&#10;">
                <v:fill on="t" focussize="0,0"/>
                <v:stroke weight="2pt" color="#F79646 [3209]"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mc:Fallback>
        </mc:AlternateContent>
      </w:r>
    </w:p>
    <w:p>
      <w:pPr>
        <w:jc w:val="center"/>
        <w:rPr>
          <w:sz w:val="28"/>
        </w:rPr>
      </w:pPr>
    </w:p>
    <w:p>
      <w:pPr>
        <w:jc w:val="center"/>
        <w:rPr>
          <w:sz w:val="28"/>
        </w:rPr>
      </w:pPr>
    </w:p>
    <w:p>
      <w:pPr>
        <w:jc w:val="center"/>
        <w:rPr>
          <w:sz w:val="28"/>
        </w:rPr>
      </w:pPr>
    </w:p>
    <w:p>
      <w:pPr>
        <w:jc w:val="center"/>
        <w:rPr>
          <w:sz w:val="28"/>
        </w:rPr>
      </w:pPr>
    </w:p>
    <w:p>
      <w:pPr>
        <w:jc w:val="center"/>
        <w:rPr>
          <w:sz w:val="28"/>
        </w:rPr>
      </w:pPr>
    </w:p>
    <w:p>
      <w:pPr>
        <w:rPr>
          <w:rFonts w:hint="eastAsia"/>
          <w:u w:val="single"/>
          <w:lang w:val="en-US" w:eastAsia="zh-CN"/>
        </w:rPr>
      </w:pPr>
    </w:p>
    <w:p>
      <w:pPr>
        <w:rPr>
          <w:rFonts w:hint="eastAsia"/>
          <w:u w:val="single"/>
          <w:lang w:val="en-US" w:eastAsia="zh-CN"/>
        </w:rPr>
      </w:pPr>
    </w:p>
    <w:p>
      <w:pPr>
        <w:jc w:val="center"/>
        <w:rPr>
          <w:rFonts w:hint="eastAsia"/>
          <w:u w:val="single"/>
          <w:lang w:val="en-US" w:eastAsia="zh-CN"/>
        </w:rPr>
      </w:pPr>
    </w:p>
    <w:p>
      <w:pPr>
        <w:rPr>
          <w:rFonts w:hint="eastAsia"/>
          <w:u w:val="single"/>
          <w:lang w:val="en-US" w:eastAsia="zh-CN"/>
        </w:rPr>
      </w:pPr>
    </w:p>
    <w:p>
      <w:pPr>
        <w:rPr>
          <w:rFonts w:hint="default"/>
          <w:u w:val="single"/>
          <w:lang w:val="en-US" w:eastAsia="zh-CN"/>
        </w:rPr>
      </w:pPr>
    </w:p>
    <w:p>
      <w:r>
        <w:rPr>
          <w:rFonts w:hint="eastAsia"/>
          <w:color w:val="auto"/>
          <w:sz w:val="28"/>
          <w:szCs w:val="28"/>
          <w:highlight w:val="green"/>
          <w:lang w:eastAsia="zh-CN"/>
        </w:rPr>
        <w:t>（注：第几</w:t>
      </w:r>
      <w:r>
        <w:rPr>
          <w:rFonts w:hint="eastAsia"/>
          <w:color w:val="auto"/>
          <w:sz w:val="28"/>
          <w:szCs w:val="28"/>
          <w:highlight w:val="green"/>
          <w:lang w:val="en-US" w:eastAsia="zh-CN"/>
        </w:rPr>
        <w:t>章及标题</w:t>
      </w:r>
      <w:r>
        <w:rPr>
          <w:rFonts w:hint="eastAsia"/>
          <w:color w:val="auto"/>
          <w:sz w:val="28"/>
          <w:szCs w:val="28"/>
          <w:highlight w:val="green"/>
          <w:lang w:eastAsia="zh-CN"/>
        </w:rPr>
        <w:t>可以修改，可以前后增减</w:t>
      </w:r>
      <w:r>
        <w:rPr>
          <w:rFonts w:hint="eastAsia"/>
          <w:color w:val="auto"/>
          <w:sz w:val="28"/>
          <w:szCs w:val="28"/>
          <w:highlight w:val="green"/>
          <w:lang w:val="en-US" w:eastAsia="zh-CN"/>
        </w:rPr>
        <w:t>）</w:t>
      </w:r>
    </w:p>
    <w:p/>
    <w:p/>
    <w:p/>
    <w:p/>
    <w:p/>
    <w:p/>
    <w:p/>
    <w:p/>
    <w:p/>
    <w:p/>
    <w:p/>
    <w:p/>
    <w:p/>
    <w:p/>
    <w:p/>
    <w:p>
      <w:pPr>
        <w:pStyle w:val="2"/>
        <w:spacing w:beforeLines="0" w:afterLines="0"/>
      </w:pPr>
      <w:bookmarkStart w:id="73" w:name="_Toc234345897"/>
      <w:bookmarkStart w:id="74" w:name="_Toc234348983"/>
      <w:bookmarkStart w:id="75" w:name="_Toc234350679"/>
      <w:bookmarkStart w:id="76" w:name="_Toc234349557"/>
      <w:bookmarkStart w:id="77" w:name="_Toc265483671"/>
      <w:bookmarkStart w:id="78" w:name="_Toc234346112"/>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bookmarkStart w:id="79" w:name="_Toc42601977"/>
      <w:r>
        <w:rPr>
          <w:rFonts w:hint="eastAsia"/>
        </w:rPr>
        <w:t>第</w:t>
      </w:r>
      <w:r>
        <w:rPr>
          <w:rFonts w:hint="eastAsia"/>
          <w:u w:val="single"/>
          <w:lang w:val="en-US" w:eastAsia="zh-CN"/>
        </w:rPr>
        <w:t>**</w:t>
      </w:r>
      <w:r>
        <w:rPr>
          <w:rFonts w:hint="eastAsia"/>
        </w:rPr>
        <w:t>章  投标文件格式</w:t>
      </w:r>
      <w:bookmarkEnd w:id="73"/>
      <w:bookmarkEnd w:id="74"/>
      <w:bookmarkEnd w:id="75"/>
      <w:bookmarkEnd w:id="76"/>
      <w:bookmarkEnd w:id="77"/>
      <w:bookmarkEnd w:id="78"/>
      <w:bookmarkEnd w:id="79"/>
    </w:p>
    <w:p>
      <w:pPr>
        <w:rPr>
          <w:rFonts w:ascii="宋体"/>
        </w:rPr>
      </w:pPr>
    </w:p>
    <w:p>
      <w:pPr>
        <w:rPr>
          <w:rFonts w:ascii="宋体"/>
          <w:sz w:val="32"/>
          <w:szCs w:val="32"/>
          <w:u w:val="single"/>
        </w:rPr>
      </w:pPr>
      <w:r>
        <w:rPr>
          <w:rFonts w:ascii="宋体"/>
        </w:rPr>
        <w:br w:type="page"/>
      </w:r>
    </w:p>
    <w:p>
      <w:pPr>
        <w:snapToGrid w:val="0"/>
        <w:spacing w:line="360" w:lineRule="auto"/>
        <w:ind w:left="2085" w:leftChars="993"/>
        <w:rPr>
          <w:rFonts w:ascii="宋体"/>
          <w:sz w:val="32"/>
          <w:szCs w:val="32"/>
        </w:rPr>
      </w:pPr>
    </w:p>
    <w:p>
      <w:pPr>
        <w:jc w:val="center"/>
        <w:rPr>
          <w:rFonts w:hint="eastAsia" w:ascii="宋体" w:hAnsi="宋体" w:cs="宋体"/>
          <w:sz w:val="72"/>
          <w:szCs w:val="44"/>
          <w:u w:val="single"/>
        </w:rPr>
      </w:pPr>
      <w:r>
        <w:rPr>
          <w:rFonts w:hint="eastAsia" w:ascii="宋体" w:hAnsi="宋体" w:cs="宋体"/>
          <w:sz w:val="72"/>
          <w:szCs w:val="44"/>
          <w:u w:val="single"/>
        </w:rPr>
        <w:t>项目名称</w:t>
      </w:r>
    </w:p>
    <w:p>
      <w:pPr>
        <w:jc w:val="center"/>
        <w:rPr>
          <w:rFonts w:hint="default" w:ascii="宋体" w:eastAsia="宋体"/>
          <w:sz w:val="32"/>
          <w:szCs w:val="32"/>
          <w:lang w:val="en-US" w:eastAsia="zh-CN"/>
        </w:rPr>
      </w:pPr>
      <w:r>
        <w:rPr>
          <w:rFonts w:hint="eastAsia" w:ascii="宋体" w:hAnsi="宋体" w:cs="宋体"/>
          <w:sz w:val="72"/>
          <w:szCs w:val="44"/>
          <w:u w:val="single"/>
        </w:rPr>
        <w:t>（标段）</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sz w:val="72"/>
          <w:szCs w:val="44"/>
        </w:rPr>
      </w:pPr>
      <w:r>
        <w:rPr>
          <w:rFonts w:hint="eastAsia" w:ascii="宋体" w:hAnsi="宋体" w:cs="宋体"/>
          <w:sz w:val="72"/>
          <w:szCs w:val="44"/>
        </w:rPr>
        <w:t>投标文件</w:t>
      </w:r>
    </w:p>
    <w:p>
      <w:pPr>
        <w:jc w:val="center"/>
        <w:rPr>
          <w:rFonts w:ascii="宋体"/>
          <w:sz w:val="72"/>
          <w:szCs w:val="44"/>
        </w:rPr>
      </w:pPr>
    </w:p>
    <w:p>
      <w:pPr>
        <w:jc w:val="center"/>
        <w:rPr>
          <w:rFonts w:ascii="宋体"/>
          <w:sz w:val="48"/>
          <w:szCs w:val="32"/>
        </w:rPr>
      </w:pPr>
      <w:r>
        <w:rPr>
          <w:rFonts w:hint="eastAsia" w:ascii="宋体" w:hAnsi="宋体" w:cs="宋体"/>
          <w:sz w:val="48"/>
          <w:szCs w:val="32"/>
        </w:rPr>
        <w:t>（商务文件）</w:t>
      </w:r>
    </w:p>
    <w:p>
      <w:pPr>
        <w:ind w:left="853" w:leftChars="406"/>
        <w:rPr>
          <w:rFonts w:ascii="宋体"/>
          <w:sz w:val="48"/>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r>
        <w:rPr>
          <w:rFonts w:hint="eastAsia" w:ascii="宋体" w:hAnsi="宋体" w:cs="宋体"/>
          <w:sz w:val="32"/>
          <w:szCs w:val="32"/>
        </w:rPr>
        <w:t>投标人：</w:t>
      </w:r>
      <w:r>
        <w:rPr>
          <w:rFonts w:ascii="宋体" w:hAnsi="宋体" w:cs="宋体"/>
          <w:sz w:val="32"/>
          <w:szCs w:val="32"/>
        </w:rPr>
        <w:t>____________________</w:t>
      </w:r>
      <w:r>
        <w:rPr>
          <w:rFonts w:hint="eastAsia" w:ascii="宋体" w:hAnsi="宋体" w:cs="宋体"/>
          <w:sz w:val="32"/>
          <w:szCs w:val="32"/>
        </w:rPr>
        <w:t>（盖单位章）</w:t>
      </w:r>
    </w:p>
    <w:p>
      <w:pPr>
        <w:ind w:left="2085" w:leftChars="993" w:firstLine="960" w:firstLineChars="300"/>
        <w:rPr>
          <w:rFonts w:ascii="宋体"/>
          <w:sz w:val="32"/>
          <w:szCs w:val="32"/>
        </w:rPr>
      </w:pPr>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p>
    <w:p>
      <w:pPr>
        <w:jc w:val="center"/>
        <w:rPr>
          <w:sz w:val="36"/>
          <w:szCs w:val="36"/>
        </w:rPr>
      </w:pPr>
      <w:r>
        <w:br w:type="page"/>
      </w:r>
      <w:bookmarkStart w:id="80" w:name="_Toc234348984"/>
      <w:bookmarkStart w:id="81" w:name="_Toc234346113"/>
      <w:bookmarkStart w:id="82" w:name="_Toc234345898"/>
      <w:bookmarkStart w:id="83" w:name="_Toc234349558"/>
      <w:r>
        <w:rPr>
          <w:rFonts w:hint="eastAsia"/>
          <w:sz w:val="36"/>
          <w:szCs w:val="36"/>
        </w:rPr>
        <w:t>目  录</w:t>
      </w:r>
      <w:bookmarkEnd w:id="80"/>
      <w:bookmarkEnd w:id="81"/>
      <w:bookmarkEnd w:id="82"/>
      <w:bookmarkEnd w:id="83"/>
    </w:p>
    <w:p>
      <w:pPr>
        <w:snapToGrid w:val="0"/>
        <w:spacing w:line="360" w:lineRule="auto"/>
        <w:rPr>
          <w:rFonts w:ascii="宋体"/>
          <w:sz w:val="24"/>
        </w:rPr>
      </w:pPr>
    </w:p>
    <w:p>
      <w:pPr>
        <w:snapToGrid w:val="0"/>
        <w:spacing w:line="360" w:lineRule="auto"/>
        <w:rPr>
          <w:rFonts w:ascii="宋体"/>
          <w:sz w:val="24"/>
        </w:rPr>
      </w:pPr>
      <w:r>
        <w:rPr>
          <w:rFonts w:hint="eastAsia" w:ascii="宋体" w:hAnsi="宋体"/>
          <w:sz w:val="24"/>
          <w:u w:val="single"/>
        </w:rPr>
        <w:t>一、投标函及投标函附录</w:t>
      </w:r>
    </w:p>
    <w:p>
      <w:pPr>
        <w:snapToGrid w:val="0"/>
        <w:spacing w:line="360" w:lineRule="auto"/>
        <w:rPr>
          <w:rFonts w:ascii="宋体"/>
          <w:sz w:val="24"/>
        </w:rPr>
      </w:pPr>
      <w:r>
        <w:rPr>
          <w:rFonts w:hint="eastAsia" w:ascii="宋体" w:hAnsi="宋体"/>
          <w:sz w:val="24"/>
          <w:u w:val="single"/>
          <w:lang w:val="en-US" w:eastAsia="zh-CN"/>
        </w:rPr>
        <w:t>**</w:t>
      </w:r>
      <w:r>
        <w:rPr>
          <w:rFonts w:hint="eastAsia" w:ascii="宋体" w:hAnsi="宋体"/>
          <w:sz w:val="24"/>
          <w:u w:val="single"/>
        </w:rPr>
        <w:t>、</w:t>
      </w:r>
      <w:r>
        <w:rPr>
          <w:rFonts w:hint="eastAsia" w:ascii="宋体" w:hAnsi="宋体"/>
          <w:sz w:val="24"/>
          <w:u w:val="single"/>
          <w:lang w:val="en-US" w:eastAsia="zh-CN"/>
        </w:rPr>
        <w:t>******************</w:t>
      </w:r>
    </w:p>
    <w:p>
      <w:pPr>
        <w:snapToGrid w:val="0"/>
        <w:spacing w:line="360" w:lineRule="auto"/>
        <w:rPr>
          <w:rFonts w:ascii="宋体"/>
          <w:sz w:val="24"/>
        </w:rPr>
      </w:pPr>
      <w:r>
        <w:rPr>
          <w:rFonts w:hint="eastAsia" w:ascii="宋体" w:hAnsi="宋体"/>
          <w:sz w:val="24"/>
          <w:u w:val="single"/>
          <w:lang w:val="en-US" w:eastAsia="zh-CN"/>
        </w:rPr>
        <w:t>**</w:t>
      </w:r>
      <w:r>
        <w:rPr>
          <w:rFonts w:hint="eastAsia" w:ascii="宋体" w:hAnsi="宋体"/>
          <w:sz w:val="24"/>
          <w:u w:val="single"/>
        </w:rPr>
        <w:t>、资格审查资料</w:t>
      </w: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ascii="宋体"/>
          <w:sz w:val="24"/>
        </w:rPr>
      </w:pPr>
    </w:p>
    <w:p>
      <w:pPr>
        <w:snapToGrid w:val="0"/>
        <w:spacing w:line="360" w:lineRule="auto"/>
        <w:rPr>
          <w:rFonts w:ascii="宋体"/>
          <w:sz w:val="24"/>
        </w:rPr>
      </w:pPr>
    </w:p>
    <w:p>
      <w:pPr>
        <w:spacing w:line="360" w:lineRule="auto"/>
        <w:jc w:val="left"/>
        <w:rPr>
          <w:rFonts w:hint="eastAsia" w:eastAsia="宋体"/>
          <w:b/>
          <w:sz w:val="36"/>
          <w:szCs w:val="36"/>
          <w:u w:val="single"/>
          <w:lang w:val="en-US"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可以前后增减，自行插入投标文件格式</w:t>
      </w:r>
      <w:r>
        <w:rPr>
          <w:rFonts w:hint="eastAsia"/>
          <w:color w:val="auto"/>
          <w:sz w:val="28"/>
          <w:szCs w:val="28"/>
          <w:highlight w:val="green"/>
          <w:lang w:val="en-US" w:eastAsia="zh-CN"/>
        </w:rPr>
        <w:t>）</w:t>
      </w:r>
      <w:r>
        <w:br w:type="page"/>
      </w:r>
      <w:bookmarkStart w:id="84" w:name="_Toc234348988"/>
      <w:bookmarkStart w:id="85" w:name="_Toc234345902"/>
      <w:bookmarkStart w:id="86" w:name="_Toc234349562"/>
      <w:bookmarkStart w:id="87" w:name="_Toc265483674"/>
      <w:bookmarkStart w:id="88" w:name="_Toc234346117"/>
    </w:p>
    <w:p>
      <w:pPr>
        <w:spacing w:line="360" w:lineRule="auto"/>
        <w:jc w:val="center"/>
        <w:rPr>
          <w:rFonts w:hint="eastAsia"/>
          <w:b/>
          <w:sz w:val="32"/>
          <w:szCs w:val="32"/>
        </w:rPr>
      </w:pPr>
      <w:bookmarkStart w:id="89" w:name="_Toc184635138"/>
      <w:bookmarkStart w:id="90" w:name="_Toc234345901"/>
      <w:bookmarkStart w:id="91" w:name="_Toc234348987"/>
      <w:bookmarkStart w:id="92" w:name="_Toc234349561"/>
      <w:bookmarkStart w:id="93" w:name="_Toc234346116"/>
      <w:bookmarkStart w:id="94" w:name="_Toc265483673"/>
      <w:r>
        <w:rPr>
          <w:rFonts w:hint="eastAsia"/>
          <w:b/>
          <w:sz w:val="32"/>
          <w:szCs w:val="32"/>
        </w:rPr>
        <w:t>一、投标函及投标函附录</w:t>
      </w:r>
      <w:bookmarkEnd w:id="89"/>
    </w:p>
    <w:p>
      <w:pPr>
        <w:spacing w:line="360" w:lineRule="auto"/>
        <w:jc w:val="center"/>
        <w:rPr>
          <w:rFonts w:ascii="宋体" w:hAnsi="宋体"/>
          <w:sz w:val="15"/>
          <w:szCs w:val="15"/>
          <w:u w:val="single"/>
        </w:rPr>
      </w:pPr>
      <w:r>
        <w:rPr>
          <w:rFonts w:hint="eastAsia"/>
          <w:b/>
          <w:sz w:val="32"/>
          <w:szCs w:val="32"/>
        </w:rPr>
        <w:t>（一）投标函</w:t>
      </w:r>
      <w:bookmarkEnd w:id="90"/>
      <w:bookmarkEnd w:id="91"/>
      <w:bookmarkEnd w:id="92"/>
      <w:bookmarkEnd w:id="93"/>
      <w:bookmarkEnd w:id="94"/>
    </w:p>
    <w:p>
      <w:pPr>
        <w:spacing w:beforeLines="50" w:afterLines="50" w:line="360" w:lineRule="auto"/>
        <w:rPr>
          <w:rFonts w:ascii="宋体" w:hAnsi="宋体"/>
          <w:szCs w:val="21"/>
        </w:rPr>
      </w:pPr>
      <w:r>
        <w:rPr>
          <w:rFonts w:hint="eastAsia" w:ascii="宋体" w:hAnsi="宋体"/>
          <w:szCs w:val="21"/>
          <w:u w:val="single"/>
        </w:rPr>
        <w:t>(招标人名称)</w:t>
      </w:r>
      <w:r>
        <w:rPr>
          <w:rFonts w:hint="eastAsia" w:ascii="宋体" w:hAnsi="宋体"/>
          <w:szCs w:val="21"/>
        </w:rPr>
        <w:t>：</w:t>
      </w:r>
    </w:p>
    <w:p>
      <w:pPr>
        <w:spacing w:line="360" w:lineRule="auto"/>
        <w:ind w:firstLine="420" w:firstLineChars="200"/>
        <w:rPr>
          <w:rFonts w:hint="eastAsia" w:ascii="宋体" w:hAnsi="宋体"/>
          <w:szCs w:val="21"/>
          <w:lang w:eastAsia="zh-CN"/>
        </w:rPr>
      </w:pPr>
      <w:r>
        <w:rPr>
          <w:rFonts w:hint="eastAsia" w:ascii="宋体" w:hAnsi="宋体"/>
          <w:szCs w:val="21"/>
        </w:rPr>
        <w:t>1．我方己仔细研究了</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标段招标文件的全部内容，愿意以</w:t>
      </w:r>
      <w:r>
        <w:rPr>
          <w:rFonts w:hint="eastAsia" w:ascii="宋体" w:hAnsi="宋体"/>
          <w:szCs w:val="21"/>
          <w:lang w:eastAsia="zh-CN"/>
        </w:rPr>
        <w:t>：</w:t>
      </w:r>
      <w:r>
        <w:rPr>
          <w:rFonts w:hint="eastAsia" w:ascii="宋体" w:hAnsi="宋体"/>
          <w:szCs w:val="21"/>
          <w:u w:val="single"/>
          <w:lang w:val="en-US" w:eastAsia="zh-CN"/>
        </w:rPr>
        <w:t xml:space="preserve"> （唱标内容1），（唱标内容2），（唱标内容***）</w:t>
      </w:r>
      <w:r>
        <w:rPr>
          <w:rFonts w:hint="eastAsia" w:ascii="宋体" w:hAnsi="宋体"/>
          <w:szCs w:val="21"/>
          <w:u w:val="none"/>
          <w:lang w:val="en-US" w:eastAsia="zh-CN"/>
        </w:rPr>
        <w:t>，按照合同约定履行义务。</w:t>
      </w:r>
    </w:p>
    <w:p>
      <w:pPr>
        <w:spacing w:line="360" w:lineRule="auto"/>
        <w:ind w:firstLine="420" w:firstLineChars="200"/>
        <w:rPr>
          <w:rFonts w:hint="eastAsia" w:ascii="宋体" w:hAnsi="宋体"/>
          <w:szCs w:val="21"/>
          <w:u w:val="single"/>
          <w:lang w:val="en-US" w:eastAsia="zh-CN"/>
        </w:rPr>
      </w:pPr>
      <w:r>
        <w:rPr>
          <w:rFonts w:hint="eastAsia" w:ascii="宋体" w:hAnsi="宋体"/>
          <w:szCs w:val="21"/>
          <w:u w:val="single"/>
          <w:lang w:val="en-US" w:eastAsia="zh-CN"/>
        </w:rPr>
        <w:t>2.***************。</w:t>
      </w:r>
    </w:p>
    <w:p>
      <w:pPr>
        <w:spacing w:line="360" w:lineRule="auto"/>
        <w:ind w:firstLine="420" w:firstLineChars="200"/>
        <w:rPr>
          <w:rFonts w:hint="default" w:ascii="宋体" w:hAnsi="宋体"/>
          <w:szCs w:val="21"/>
          <w:u w:val="single"/>
          <w:lang w:val="en-US" w:eastAsia="zh-CN"/>
        </w:rPr>
      </w:pPr>
      <w:r>
        <w:rPr>
          <w:rFonts w:hint="eastAsia" w:ascii="宋体" w:hAnsi="宋体"/>
          <w:szCs w:val="21"/>
          <w:u w:val="single"/>
          <w:lang w:val="en-US" w:eastAsia="zh-CN"/>
        </w:rPr>
        <w:t>*.***************。</w:t>
      </w:r>
    </w:p>
    <w:p>
      <w:pPr>
        <w:spacing w:line="360" w:lineRule="auto"/>
        <w:ind w:firstLine="420" w:firstLineChars="200"/>
        <w:rPr>
          <w:rFonts w:hint="eastAsia" w:ascii="宋体" w:hAnsi="宋体"/>
          <w:szCs w:val="21"/>
          <w:lang w:eastAsia="zh-CN"/>
        </w:rPr>
      </w:pPr>
    </w:p>
    <w:p>
      <w:pPr>
        <w:spacing w:line="360" w:lineRule="auto"/>
        <w:ind w:firstLine="420" w:firstLineChars="200"/>
        <w:rPr>
          <w:rFonts w:hint="eastAsia" w:ascii="宋体" w:hAnsi="宋体"/>
          <w:szCs w:val="21"/>
          <w:lang w:eastAsia="zh-CN"/>
        </w:rPr>
      </w:pPr>
    </w:p>
    <w:p>
      <w:pPr>
        <w:spacing w:line="360" w:lineRule="auto"/>
        <w:ind w:firstLine="420" w:firstLineChars="200"/>
        <w:rPr>
          <w:rFonts w:hint="eastAsia" w:ascii="宋体" w:hAnsi="宋体"/>
          <w:szCs w:val="21"/>
          <w:lang w:eastAsia="zh-CN"/>
        </w:rPr>
      </w:pPr>
    </w:p>
    <w:p>
      <w:pPr>
        <w:spacing w:line="360" w:lineRule="auto"/>
        <w:ind w:firstLine="420" w:firstLineChars="200"/>
        <w:rPr>
          <w:rFonts w:ascii="宋体" w:hAnsi="宋体"/>
          <w:szCs w:val="21"/>
        </w:rPr>
      </w:pPr>
    </w:p>
    <w:p>
      <w:pPr>
        <w:ind w:firstLine="1771" w:firstLineChars="1181"/>
        <w:rPr>
          <w:rFonts w:ascii="宋体" w:hAnsi="宋体"/>
          <w:sz w:val="15"/>
          <w:szCs w:val="15"/>
        </w:rPr>
      </w:pPr>
    </w:p>
    <w:p>
      <w:pPr>
        <w:spacing w:line="360" w:lineRule="exact"/>
        <w:ind w:firstLine="4473" w:firstLineChars="2130"/>
        <w:rPr>
          <w:rFonts w:ascii="宋体" w:hAnsi="宋体"/>
          <w:szCs w:val="21"/>
        </w:rPr>
      </w:pPr>
      <w:r>
        <w:rPr>
          <w:rFonts w:hint="eastAsia" w:ascii="宋体" w:hAnsi="宋体"/>
          <w:szCs w:val="21"/>
        </w:rPr>
        <w:t>投  标  人： (盖单位章)</w:t>
      </w:r>
    </w:p>
    <w:p>
      <w:pPr>
        <w:spacing w:line="360" w:lineRule="exact"/>
        <w:ind w:firstLine="4473" w:firstLineChars="2130"/>
        <w:rPr>
          <w:rFonts w:ascii="宋体" w:hAnsi="宋体"/>
          <w:szCs w:val="21"/>
        </w:rPr>
      </w:pPr>
      <w:r>
        <w:rPr>
          <w:rFonts w:hint="eastAsia" w:ascii="宋体" w:hAnsi="宋体"/>
          <w:szCs w:val="21"/>
        </w:rPr>
        <w:t>法定代表人或其委托代理人： (签字)</w:t>
      </w:r>
    </w:p>
    <w:p>
      <w:pPr>
        <w:spacing w:line="360" w:lineRule="exact"/>
        <w:ind w:firstLine="4473" w:firstLineChars="2130"/>
        <w:rPr>
          <w:rFonts w:ascii="宋体" w:hAnsi="宋体"/>
          <w:szCs w:val="21"/>
        </w:rPr>
      </w:pPr>
      <w:r>
        <w:rPr>
          <w:rFonts w:hint="eastAsia" w:ascii="宋体" w:hAnsi="宋体"/>
          <w:szCs w:val="21"/>
        </w:rPr>
        <w:t>地址：</w:t>
      </w:r>
    </w:p>
    <w:p>
      <w:pPr>
        <w:spacing w:line="360" w:lineRule="exact"/>
        <w:ind w:firstLine="4473" w:firstLineChars="2130"/>
        <w:rPr>
          <w:rFonts w:ascii="宋体" w:hAnsi="宋体"/>
          <w:szCs w:val="21"/>
        </w:rPr>
      </w:pPr>
      <w:r>
        <w:rPr>
          <w:rFonts w:hint="eastAsia" w:ascii="宋体" w:hAnsi="宋体"/>
          <w:szCs w:val="21"/>
        </w:rPr>
        <w:t>电话：</w:t>
      </w:r>
    </w:p>
    <w:p>
      <w:pPr>
        <w:spacing w:line="360" w:lineRule="exact"/>
        <w:ind w:firstLine="4473" w:firstLineChars="2130"/>
        <w:rPr>
          <w:rFonts w:ascii="宋体" w:hAnsi="宋体"/>
          <w:szCs w:val="21"/>
        </w:rPr>
      </w:pPr>
      <w:r>
        <w:rPr>
          <w:rFonts w:hint="eastAsia" w:ascii="宋体" w:hAnsi="宋体"/>
          <w:szCs w:val="21"/>
        </w:rPr>
        <w:t>传真：</w:t>
      </w:r>
    </w:p>
    <w:p>
      <w:pPr>
        <w:spacing w:line="360" w:lineRule="exact"/>
        <w:ind w:firstLine="4473" w:firstLineChars="2130"/>
        <w:rPr>
          <w:rFonts w:ascii="宋体" w:hAnsi="宋体"/>
          <w:szCs w:val="21"/>
        </w:rPr>
      </w:pPr>
      <w:r>
        <w:rPr>
          <w:rFonts w:hint="eastAsia" w:ascii="宋体" w:hAnsi="宋体"/>
          <w:szCs w:val="21"/>
        </w:rPr>
        <w:t>邮政编码：</w:t>
      </w:r>
    </w:p>
    <w:p>
      <w:pPr>
        <w:spacing w:line="360" w:lineRule="exact"/>
        <w:ind w:firstLine="6992" w:firstLineChars="3330"/>
        <w:rPr>
          <w:rFonts w:hint="eastAsia" w:ascii="宋体" w:hAnsi="宋体"/>
          <w:szCs w:val="21"/>
        </w:rPr>
      </w:pPr>
      <w:r>
        <w:rPr>
          <w:rFonts w:hint="eastAsia" w:ascii="宋体" w:hAnsi="宋体"/>
          <w:szCs w:val="21"/>
        </w:rPr>
        <w:t>年  月  日</w:t>
      </w:r>
    </w:p>
    <w:p>
      <w:pPr>
        <w:spacing w:line="360" w:lineRule="exact"/>
        <w:ind w:firstLine="6992" w:firstLineChars="3330"/>
        <w:rPr>
          <w:rFonts w:hint="eastAsia" w:ascii="宋体" w:hAnsi="宋体"/>
          <w:szCs w:val="21"/>
        </w:rPr>
      </w:pPr>
    </w:p>
    <w:p>
      <w:pPr>
        <w:spacing w:line="360" w:lineRule="exact"/>
        <w:ind w:firstLine="6992" w:firstLineChars="3330"/>
        <w:rPr>
          <w:rFonts w:hint="eastAsia" w:ascii="宋体" w:hAnsi="宋体"/>
          <w:szCs w:val="21"/>
        </w:rPr>
      </w:pPr>
    </w:p>
    <w:p>
      <w:pPr>
        <w:spacing w:line="360" w:lineRule="auto"/>
        <w:jc w:val="left"/>
        <w:rPr>
          <w:rFonts w:hint="eastAsia" w:eastAsia="宋体"/>
          <w:color w:val="auto"/>
          <w:sz w:val="28"/>
          <w:szCs w:val="28"/>
          <w:highlight w:val="green"/>
          <w:lang w:val="en-US" w:eastAsia="zh-CN"/>
        </w:rPr>
      </w:pPr>
      <w:r>
        <w:rPr>
          <w:rFonts w:hint="eastAsia"/>
          <w:color w:val="auto"/>
          <w:sz w:val="28"/>
          <w:szCs w:val="28"/>
          <w:highlight w:val="green"/>
          <w:lang w:eastAsia="zh-CN"/>
        </w:rPr>
        <w:t>（注：</w:t>
      </w:r>
      <w:r>
        <w:rPr>
          <w:rFonts w:hint="eastAsia"/>
          <w:color w:val="auto"/>
          <w:sz w:val="28"/>
          <w:szCs w:val="28"/>
          <w:highlight w:val="green"/>
          <w:lang w:val="en-US" w:eastAsia="zh-CN"/>
        </w:rPr>
        <w:t xml:space="preserve">1.唱标内容自行设定，按照 </w:t>
      </w:r>
      <w:r>
        <w:rPr>
          <w:rFonts w:hint="eastAsia"/>
          <w:color w:val="auto"/>
          <w:sz w:val="28"/>
          <w:szCs w:val="28"/>
          <w:highlight w:val="green"/>
          <w:u w:val="single"/>
          <w:lang w:val="en-US" w:eastAsia="zh-CN"/>
        </w:rPr>
        <w:t>内容 ** 单位</w:t>
      </w:r>
      <w:r>
        <w:rPr>
          <w:rFonts w:hint="eastAsia"/>
          <w:color w:val="auto"/>
          <w:sz w:val="28"/>
          <w:szCs w:val="28"/>
          <w:highlight w:val="green"/>
          <w:u w:val="none"/>
          <w:lang w:val="en-US" w:eastAsia="zh-CN"/>
        </w:rPr>
        <w:t xml:space="preserve"> </w:t>
      </w:r>
      <w:r>
        <w:rPr>
          <w:rFonts w:hint="eastAsia"/>
          <w:color w:val="auto"/>
          <w:sz w:val="28"/>
          <w:szCs w:val="28"/>
          <w:highlight w:val="green"/>
          <w:lang w:val="en-US" w:eastAsia="zh-CN"/>
        </w:rPr>
        <w:t>设置，单位可空。例1：工期    日历天；例2：投标总报价人民币（大写）      （￥    ）元。投标函、唱标内容、中标候选人公示内容保持一致。提示：按照《招标公告和公示信息发布管理办法》内容至少包含投标总报价、项目负责人、质量、工期（交货期）等内容。</w:t>
      </w:r>
    </w:p>
    <w:p>
      <w:pPr>
        <w:spacing w:line="360" w:lineRule="exact"/>
        <w:jc w:val="left"/>
        <w:rPr>
          <w:rFonts w:hint="eastAsia" w:ascii="宋体" w:hAnsi="宋体"/>
          <w:szCs w:val="21"/>
        </w:rPr>
      </w:pPr>
      <w:r>
        <w:rPr>
          <w:rFonts w:hint="eastAsia"/>
          <w:color w:val="auto"/>
          <w:sz w:val="28"/>
          <w:szCs w:val="28"/>
          <w:highlight w:val="green"/>
          <w:lang w:val="en-US" w:eastAsia="zh-CN"/>
        </w:rPr>
        <w:t>2.</w:t>
      </w:r>
      <w:r>
        <w:rPr>
          <w:rFonts w:hint="eastAsia"/>
          <w:color w:val="auto"/>
          <w:sz w:val="28"/>
          <w:szCs w:val="28"/>
          <w:highlight w:val="green"/>
          <w:lang w:eastAsia="zh-CN"/>
        </w:rPr>
        <w:t>可以前后增减，自行插入投标文件格式</w:t>
      </w:r>
      <w:r>
        <w:rPr>
          <w:rFonts w:hint="eastAsia"/>
          <w:color w:val="auto"/>
          <w:sz w:val="28"/>
          <w:szCs w:val="28"/>
          <w:highlight w:val="green"/>
          <w:lang w:val="en-US" w:eastAsia="zh-CN"/>
        </w:rPr>
        <w:t>）</w:t>
      </w:r>
    </w:p>
    <w:p>
      <w:pPr>
        <w:pStyle w:val="14"/>
        <w:spacing w:before="160"/>
        <w:ind w:right="60"/>
        <w:jc w:val="center"/>
        <w:rPr>
          <w:rFonts w:hint="eastAsia"/>
          <w:b/>
          <w:sz w:val="32"/>
          <w:szCs w:val="32"/>
          <w:u w:val="single"/>
        </w:rPr>
      </w:pPr>
      <w:r>
        <w:rPr>
          <w:b/>
          <w:sz w:val="32"/>
          <w:szCs w:val="32"/>
        </w:rPr>
        <w:br w:type="page"/>
      </w:r>
      <w:r>
        <w:rPr>
          <w:rFonts w:hint="eastAsia" w:ascii="宋体" w:hAnsi="宋体"/>
          <w:b/>
          <w:sz w:val="32"/>
          <w:szCs w:val="32"/>
          <w:u w:val="none"/>
        </w:rPr>
        <w:sym w:font="Wingdings" w:char="00A8"/>
      </w:r>
      <w:r>
        <w:rPr>
          <w:rFonts w:hint="eastAsia"/>
          <w:b/>
          <w:sz w:val="32"/>
          <w:szCs w:val="32"/>
          <w:u w:val="single"/>
        </w:rPr>
        <w:t>（二）投标函附录</w:t>
      </w:r>
      <w:bookmarkEnd w:id="84"/>
      <w:bookmarkEnd w:id="85"/>
      <w:bookmarkEnd w:id="86"/>
      <w:bookmarkEnd w:id="87"/>
      <w:bookmarkEnd w:id="88"/>
    </w:p>
    <w:p>
      <w:pPr>
        <w:spacing w:line="360" w:lineRule="auto"/>
        <w:jc w:val="center"/>
        <w:rPr>
          <w:rFonts w:ascii="黑体" w:hAnsi="黑体" w:eastAsia="黑体"/>
          <w:color w:val="000000"/>
        </w:rPr>
      </w:pPr>
      <w:r>
        <w:rPr>
          <w:sz w:val="28"/>
        </w:rPr>
        <mc:AlternateContent>
          <mc:Choice Requires="wps">
            <w:drawing>
              <wp:anchor distT="0" distB="0" distL="114300" distR="114300" simplePos="0" relativeHeight="251664384" behindDoc="0" locked="0" layoutInCell="1" allowOverlap="1">
                <wp:simplePos x="0" y="0"/>
                <wp:positionH relativeFrom="column">
                  <wp:posOffset>1702435</wp:posOffset>
                </wp:positionH>
                <wp:positionV relativeFrom="paragraph">
                  <wp:posOffset>529590</wp:posOffset>
                </wp:positionV>
                <wp:extent cx="2372995" cy="1127125"/>
                <wp:effectExtent l="12700" t="12700" r="14605" b="22225"/>
                <wp:wrapNone/>
                <wp:docPr id="16" name="矩形 16"/>
                <wp:cNvGraphicFramePr/>
                <a:graphic xmlns:a="http://schemas.openxmlformats.org/drawingml/2006/main">
                  <a:graphicData uri="http://schemas.microsoft.com/office/word/2010/wordprocessingShape">
                    <wps:wsp>
                      <wps:cNvSpPr/>
                      <wps:spPr>
                        <a:xfrm>
                          <a:off x="0" y="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自行插入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4.05pt;margin-top:41.7pt;height:88.75pt;width:186.85pt;z-index:251664384;v-text-anchor:middle;mso-width-relative:page;mso-height-relative:page;" fillcolor="#FFFFFF [3201]" filled="t" stroked="t" coordsize="21600,21600" o:gfxdata="UEsDBAoAAAAAAIdO4kAAAAAAAAAAAAAAAAAEAAAAZHJzL1BLAwQUAAAACACHTuJA/FMKadgAAAAK&#10;AQAADwAAAGRycy9kb3ducmV2LnhtbE2PQUvDQBCF74L/YRnBm92klpDGbIoKHkQQUhWv2+y4Cc3O&#10;huw2if/e6ckeh/fx5nvlbnG9mHAMnScF6SoBgdR405FV8PnxcpeDCFGT0b0nVPCLAXbV9VWpC+Nn&#10;qnHaRyu4hEKhFbQxDoWUoWnR6bDyAxJnP350OvI5WmlGPXO56+U6STLpdEf8odUDPrfYHPcnp2Du&#10;6u9XnHw2PL4vR/tl6u2bfVLq9iZNHkBEXOI/DGd9VoeKnQ7+RCaIXsE6y1NGFeT3GxAMZJuUtxzO&#10;SbIFWZXyckL1B1BLAwQUAAAACACHTuJA0/3dp3ACAADrBAAADgAAAGRycy9lMm9Eb2MueG1srVTN&#10;bhMxEL4j8Q6W73SzS9KQKEkVJQpCqmilgjg7Xm92Jf9hO9mUl0HixkP0cRCvwWfv9ieFQw/k4Mx4&#10;Zmfm+2bGs4ujkuQgnG+MntP8bECJ0NyUjd7N6edPmzfvKPGB6ZJJo8Wc3gpPLxavX81aOxWFqY0s&#10;hSMIov20tXNah2CnWeZ5LRTzZ8YKDWNlnGIBqttlpWMtoiuZFYPBedYaV1pnuPAet+vOSPuI7iUB&#10;TVU1XKwN3yuhQxfVCckCIPm6sZ4uUrVVJXi4qiovApFzCqQhnUgCeRvPbDFj051jtm54XwJ7SQnP&#10;MCnWaCR9CLVmgZG9a/4KpRrujDdVOONGZR2QxAhQ5INn3NzUzIqEBVR7+0C6/39h+cfDtSNNiUk4&#10;p0QzhY7//v7z190Pgguw01o/hdONvXa95iFGqMfKqfgPEOSYGL19YFQcA+G4LN6Oi8lkRAmHLc+L&#10;cV6MYtTs8XPrfHgvjCJRmFOHliUm2eHSh8713iVm80Y25aaRMilut11JRw4M7d2kXx/9xE1q0qKW&#10;0XCAtnOGoa0wLBCVBXCvd5QwucM28OBS7pOv/UmS8eR8mIgBhBO3WOSa+borJpn6WqQG4Mhjx1yU&#10;wnF77OncmvIWLXCmm01v+aZBqEvmwzVzGEbUjHUNVzgqaQDE9BIltXHf/nUf/TEjsFLSYrgB8uue&#10;OUGJ/KAxPZN8OIzbkJThaFxAcU8t26cWvVcrA4JzPAyWJzH6B3kvVs6oL9jqZcwKE9McuTs6e2UV&#10;uqXDu8DFcpncsAGWhUt9Y3kMHhuqzXIfTNWkxkeiOnZ6/rADaXT6fY1L9lRPXo9v1O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MKadgAAAAKAQAADwAAAAAAAAABACAAAAAiAAAAZHJzL2Rvd25y&#10;ZXYueG1sUEsBAhQAFAAAAAgAh07iQNP93adwAgAA6wQAAA4AAAAAAAAAAQAgAAAAJwEAAGRycy9l&#10;Mm9Eb2MueG1sUEsFBgAAAAAGAAYAWQEAAAkGAAAAAA==&#10;">
                <v:fill on="t" focussize="0,0"/>
                <v:stroke weight="2pt" color="#F79646 [3209]"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mc:Fallback>
        </mc:AlternateContent>
      </w:r>
      <w:r>
        <w:rPr>
          <w:u w:val="single"/>
        </w:rPr>
        <w:br w:type="page"/>
      </w:r>
      <w:bookmarkStart w:id="95" w:name="_Toc265483682"/>
      <w:bookmarkStart w:id="96" w:name="_Toc234349003"/>
      <w:bookmarkStart w:id="97" w:name="_Toc234345911"/>
      <w:bookmarkStart w:id="98" w:name="_Toc234346126"/>
      <w:bookmarkStart w:id="99" w:name="_Toc234349577"/>
      <w:r>
        <w:rPr>
          <w:rFonts w:hint="eastAsia" w:ascii="宋体" w:hAnsi="宋体"/>
          <w:b/>
          <w:sz w:val="32"/>
          <w:szCs w:val="32"/>
          <w:u w:val="none"/>
        </w:rPr>
        <w:sym w:font="Wingdings" w:char="00A8"/>
      </w:r>
      <w:r>
        <w:rPr>
          <w:rFonts w:hint="eastAsia"/>
          <w:b/>
          <w:sz w:val="36"/>
          <w:szCs w:val="36"/>
          <w:u w:val="single"/>
          <w:lang w:val="en-US" w:eastAsia="zh-CN"/>
        </w:rPr>
        <w:t>**</w:t>
      </w:r>
      <w:r>
        <w:rPr>
          <w:rFonts w:hint="eastAsia"/>
          <w:b/>
          <w:sz w:val="36"/>
          <w:szCs w:val="36"/>
          <w:u w:val="single"/>
        </w:rPr>
        <w:t>、资格审查资料（适用于已进行资格预审的）</w:t>
      </w:r>
      <w:r>
        <w:rPr>
          <w:rFonts w:hint="eastAsia" w:ascii="黑体" w:hAnsi="黑体" w:eastAsia="黑体"/>
          <w:color w:val="000000"/>
        </w:rPr>
        <w:t xml:space="preserve"> </w:t>
      </w:r>
    </w:p>
    <w:p>
      <w:pPr>
        <w:spacing w:line="360" w:lineRule="auto"/>
        <w:ind w:firstLine="420" w:firstLineChars="200"/>
        <w:jc w:val="left"/>
        <w:rPr>
          <w:rFonts w:ascii="宋体" w:hAnsi="宋体"/>
          <w:szCs w:val="21"/>
        </w:rPr>
      </w:pPr>
    </w:p>
    <w:p>
      <w:pPr>
        <w:spacing w:line="360" w:lineRule="auto"/>
        <w:ind w:firstLine="420" w:firstLineChars="200"/>
        <w:jc w:val="center"/>
        <w:rPr>
          <w:b/>
          <w:sz w:val="36"/>
          <w:szCs w:val="36"/>
        </w:rPr>
      </w:pPr>
      <w:r>
        <w:rPr>
          <w:rFonts w:hint="eastAsia" w:ascii="宋体" w:hAnsi="宋体"/>
          <w:szCs w:val="21"/>
          <w:u w:val="single"/>
        </w:rPr>
        <w:t>投标人应按通过资格预审后的新情况及第二章“投标人须知” 第 3.5 项的规定 对资格预审申请文件进行更新或补充，表格格式同资格预审文件规定。</w:t>
      </w:r>
      <w:r>
        <w:rPr>
          <w:b/>
          <w:sz w:val="36"/>
          <w:szCs w:val="36"/>
        </w:rPr>
        <w:br w:type="page"/>
      </w:r>
      <w:r>
        <w:rPr>
          <w:rFonts w:hint="eastAsia" w:ascii="宋体" w:hAnsi="宋体"/>
          <w:b/>
          <w:sz w:val="32"/>
          <w:szCs w:val="32"/>
          <w:u w:val="none"/>
        </w:rPr>
        <w:sym w:font="Wingdings" w:char="00A8"/>
      </w:r>
      <w:r>
        <w:rPr>
          <w:rFonts w:hint="eastAsia"/>
          <w:b/>
          <w:sz w:val="36"/>
          <w:szCs w:val="36"/>
          <w:u w:val="single"/>
          <w:lang w:val="en-US" w:eastAsia="zh-CN"/>
        </w:rPr>
        <w:t>**</w:t>
      </w:r>
      <w:r>
        <w:rPr>
          <w:rFonts w:hint="eastAsia"/>
          <w:b/>
          <w:sz w:val="36"/>
          <w:szCs w:val="36"/>
          <w:u w:val="single"/>
        </w:rPr>
        <w:t>、</w:t>
      </w:r>
      <w:bookmarkEnd w:id="95"/>
      <w:bookmarkEnd w:id="96"/>
      <w:bookmarkEnd w:id="97"/>
      <w:bookmarkEnd w:id="98"/>
      <w:bookmarkEnd w:id="99"/>
      <w:bookmarkStart w:id="100" w:name="_Toc234349578"/>
      <w:bookmarkStart w:id="101" w:name="_Toc265483683"/>
      <w:bookmarkStart w:id="102" w:name="_Toc234345912"/>
      <w:bookmarkStart w:id="103" w:name="_Toc234346127"/>
      <w:bookmarkStart w:id="104" w:name="_Toc234349004"/>
      <w:r>
        <w:rPr>
          <w:rFonts w:hint="eastAsia"/>
          <w:b/>
          <w:sz w:val="36"/>
          <w:szCs w:val="36"/>
          <w:u w:val="single"/>
        </w:rPr>
        <w:t>资格审查资料</w:t>
      </w:r>
      <w:bookmarkEnd w:id="100"/>
      <w:bookmarkEnd w:id="101"/>
      <w:bookmarkEnd w:id="102"/>
      <w:bookmarkEnd w:id="103"/>
      <w:bookmarkEnd w:id="104"/>
      <w:r>
        <w:rPr>
          <w:rFonts w:hint="eastAsia"/>
          <w:b/>
          <w:sz w:val="36"/>
          <w:szCs w:val="36"/>
          <w:u w:val="single"/>
        </w:rPr>
        <w:t>（适用于未进行资格预审的）</w:t>
      </w:r>
    </w:p>
    <w:p>
      <w:pPr>
        <w:pStyle w:val="3"/>
        <w:rPr>
          <w:rFonts w:hint="default" w:eastAsia="黑体"/>
          <w:b/>
          <w:sz w:val="32"/>
          <w:szCs w:val="32"/>
          <w:u w:val="single"/>
          <w:lang w:val="en-US" w:eastAsia="zh-CN"/>
        </w:rPr>
      </w:pPr>
      <w:bookmarkStart w:id="105" w:name="_Toc234349006"/>
      <w:bookmarkStart w:id="106" w:name="_Toc234345914"/>
      <w:bookmarkStart w:id="107" w:name="_Toc234349580"/>
      <w:bookmarkStart w:id="108" w:name="_Toc234346129"/>
      <w:r>
        <w:rPr>
          <w:rFonts w:hint="eastAsia"/>
          <w:b/>
          <w:sz w:val="32"/>
          <w:szCs w:val="32"/>
          <w:u w:val="single"/>
        </w:rPr>
        <w:t>（一）</w:t>
      </w:r>
      <w:bookmarkEnd w:id="105"/>
      <w:bookmarkEnd w:id="106"/>
      <w:bookmarkEnd w:id="107"/>
      <w:bookmarkEnd w:id="108"/>
      <w:bookmarkStart w:id="109" w:name="_Toc508796999"/>
      <w:bookmarkStart w:id="110" w:name="_Toc42601979"/>
      <w:bookmarkStart w:id="111" w:name="_Toc236644850"/>
      <w:bookmarkStart w:id="112" w:name="_Toc42498234"/>
      <w:bookmarkStart w:id="113" w:name="_Toc234349582"/>
      <w:bookmarkStart w:id="114" w:name="_Toc234346131"/>
      <w:bookmarkStart w:id="115" w:name="_Toc234349008"/>
      <w:bookmarkStart w:id="116" w:name="_Toc234345916"/>
      <w:r>
        <w:rPr>
          <w:rFonts w:hint="eastAsia"/>
          <w:b/>
          <w:sz w:val="32"/>
          <w:szCs w:val="32"/>
          <w:u w:val="single"/>
          <w:lang w:val="en-US" w:eastAsia="zh-CN"/>
        </w:rPr>
        <w:t>*********</w:t>
      </w:r>
    </w:p>
    <w:p>
      <w:pPr>
        <w:pStyle w:val="3"/>
        <w:rPr>
          <w:rFonts w:ascii="Times New Roman" w:hAnsi="Times New Roman" w:eastAsia="宋体"/>
          <w:bCs/>
          <w:color w:val="auto"/>
          <w:szCs w:val="32"/>
        </w:rPr>
      </w:pPr>
      <w:r>
        <w:rPr>
          <w:rFonts w:hint="eastAsia" w:ascii="宋体" w:hAnsi="宋体"/>
          <w:b/>
          <w:color w:val="auto"/>
          <w:sz w:val="32"/>
          <w:szCs w:val="32"/>
          <w:u w:val="none"/>
        </w:rPr>
        <w:sym w:font="Wingdings" w:char="00A8"/>
      </w:r>
      <w:r>
        <w:rPr>
          <w:rFonts w:hint="eastAsia" w:ascii="宋体" w:hAnsi="宋体" w:eastAsia="宋体"/>
          <w:color w:val="auto"/>
          <w:u w:val="single"/>
        </w:rPr>
        <w:t>（</w:t>
      </w:r>
      <w:r>
        <w:rPr>
          <w:rFonts w:hint="eastAsia" w:ascii="Times New Roman" w:hAnsi="Times New Roman" w:eastAsia="宋体"/>
          <w:bCs/>
          <w:color w:val="auto"/>
          <w:szCs w:val="32"/>
          <w:u w:val="single"/>
          <w:lang w:val="en-US" w:eastAsia="zh-CN"/>
        </w:rPr>
        <w:t>**</w:t>
      </w:r>
      <w:r>
        <w:rPr>
          <w:rFonts w:hint="eastAsia" w:ascii="Times New Roman" w:hAnsi="Times New Roman" w:eastAsia="宋体"/>
          <w:bCs/>
          <w:color w:val="auto"/>
          <w:szCs w:val="32"/>
          <w:u w:val="single"/>
        </w:rPr>
        <w:t>）近年完成的类似项目汇总表</w:t>
      </w:r>
    </w:p>
    <w:tbl>
      <w:tblPr>
        <w:tblStyle w:val="36"/>
        <w:tblW w:w="5000" w:type="pct"/>
        <w:jc w:val="center"/>
        <w:tblLayout w:type="autofit"/>
        <w:tblCellMar>
          <w:top w:w="0" w:type="dxa"/>
          <w:left w:w="0" w:type="dxa"/>
          <w:bottom w:w="0" w:type="dxa"/>
          <w:right w:w="0" w:type="dxa"/>
        </w:tblCellMar>
      </w:tblPr>
      <w:tblGrid>
        <w:gridCol w:w="632"/>
        <w:gridCol w:w="1242"/>
        <w:gridCol w:w="1242"/>
        <w:gridCol w:w="1242"/>
        <w:gridCol w:w="1509"/>
        <w:gridCol w:w="953"/>
        <w:gridCol w:w="1091"/>
        <w:gridCol w:w="1131"/>
      </w:tblGrid>
      <w:tr>
        <w:tblPrEx>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序号</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项目名称</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建设单位</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工程规模</w:t>
            </w: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工程造价(元)</w:t>
            </w: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负责人</w:t>
            </w: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bCs/>
                <w:color w:val="auto"/>
                <w:kern w:val="0"/>
              </w:rPr>
            </w:pPr>
            <w:r>
              <w:rPr>
                <w:rFonts w:hint="eastAsia" w:cs="宋体" w:asciiTheme="minorEastAsia" w:hAnsiTheme="minorEastAsia" w:eastAsiaTheme="minorEastAsia"/>
                <w:bCs/>
                <w:color w:val="auto"/>
                <w:kern w:val="0"/>
              </w:rPr>
              <w:t>竣工备案</w:t>
            </w:r>
          </w:p>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时间</w:t>
            </w: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lang w:eastAsia="zh-CN"/>
              </w:rPr>
              <w:t>备注</w:t>
            </w: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1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bl>
    <w:p>
      <w:pPr>
        <w:pStyle w:val="3"/>
        <w:rPr>
          <w:rFonts w:ascii="宋体" w:hAnsi="宋体" w:eastAsia="宋体"/>
          <w:color w:val="auto"/>
        </w:rPr>
      </w:pPr>
    </w:p>
    <w:p>
      <w:pPr>
        <w:pStyle w:val="3"/>
        <w:rPr>
          <w:rFonts w:ascii="宋体" w:hAnsi="宋体" w:eastAsia="宋体"/>
          <w:color w:val="auto"/>
        </w:rPr>
      </w:pPr>
    </w:p>
    <w:p>
      <w:pPr>
        <w:pStyle w:val="3"/>
        <w:rPr>
          <w:rFonts w:ascii="Times New Roman" w:hAnsi="Times New Roman" w:eastAsia="宋体"/>
          <w:bCs/>
          <w:color w:val="auto"/>
          <w:szCs w:val="32"/>
        </w:rPr>
      </w:pPr>
      <w:r>
        <w:rPr>
          <w:rFonts w:ascii="宋体" w:hAnsi="宋体" w:eastAsia="宋体"/>
          <w:color w:val="auto"/>
        </w:rPr>
        <w:br w:type="page"/>
      </w:r>
      <w:bookmarkEnd w:id="109"/>
      <w:bookmarkEnd w:id="110"/>
      <w:bookmarkEnd w:id="111"/>
      <w:bookmarkEnd w:id="112"/>
      <w:bookmarkStart w:id="117" w:name="_Toc42498236"/>
      <w:bookmarkStart w:id="118" w:name="_Toc508797001"/>
      <w:bookmarkStart w:id="119" w:name="_Toc42601981"/>
      <w:r>
        <w:rPr>
          <w:rFonts w:hint="eastAsia" w:ascii="宋体" w:hAnsi="宋体"/>
          <w:b/>
          <w:color w:val="auto"/>
          <w:sz w:val="32"/>
          <w:szCs w:val="32"/>
          <w:u w:val="none"/>
        </w:rPr>
        <w:sym w:font="Wingdings" w:char="00A8"/>
      </w:r>
      <w:r>
        <w:rPr>
          <w:rFonts w:hint="eastAsia" w:ascii="宋体" w:hAnsi="宋体" w:eastAsia="宋体"/>
          <w:color w:val="auto"/>
          <w:u w:val="single"/>
        </w:rPr>
        <w:t>（</w:t>
      </w:r>
      <w:r>
        <w:rPr>
          <w:rFonts w:hint="eastAsia" w:ascii="宋体" w:hAnsi="宋体" w:eastAsia="宋体"/>
          <w:color w:val="auto"/>
          <w:u w:val="single"/>
          <w:lang w:val="en-US" w:eastAsia="zh-CN"/>
        </w:rPr>
        <w:t>**</w:t>
      </w:r>
      <w:r>
        <w:rPr>
          <w:rFonts w:hint="eastAsia" w:ascii="宋体" w:hAnsi="宋体" w:eastAsia="宋体"/>
          <w:color w:val="auto"/>
          <w:u w:val="single"/>
        </w:rPr>
        <w:t>）</w:t>
      </w:r>
      <w:r>
        <w:rPr>
          <w:rFonts w:hint="eastAsia" w:ascii="宋体" w:hAnsi="宋体" w:eastAsia="宋体"/>
          <w:color w:val="auto"/>
          <w:u w:val="single"/>
          <w:lang w:eastAsia="zh-CN"/>
        </w:rPr>
        <w:t>拟委任的项目班子成员</w:t>
      </w:r>
      <w:r>
        <w:rPr>
          <w:rFonts w:hint="eastAsia" w:ascii="宋体" w:hAnsi="宋体" w:eastAsia="宋体"/>
          <w:color w:val="auto"/>
          <w:u w:val="single"/>
        </w:rPr>
        <w:t>一览表</w:t>
      </w:r>
    </w:p>
    <w:tbl>
      <w:tblPr>
        <w:tblStyle w:val="36"/>
        <w:tblW w:w="3870" w:type="pct"/>
        <w:jc w:val="center"/>
        <w:tblLayout w:type="autofit"/>
        <w:tblCellMar>
          <w:top w:w="0" w:type="dxa"/>
          <w:left w:w="0" w:type="dxa"/>
          <w:bottom w:w="0" w:type="dxa"/>
          <w:right w:w="0" w:type="dxa"/>
        </w:tblCellMar>
      </w:tblPr>
      <w:tblGrid>
        <w:gridCol w:w="878"/>
        <w:gridCol w:w="878"/>
        <w:gridCol w:w="878"/>
        <w:gridCol w:w="1725"/>
        <w:gridCol w:w="1508"/>
        <w:gridCol w:w="1132"/>
      </w:tblGrid>
      <w:tr>
        <w:tblPrEx>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序号</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姓名</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eastAsiaTheme="minorEastAsia"/>
                <w:color w:val="auto"/>
                <w:lang w:eastAsia="zh-CN"/>
              </w:rPr>
              <w:t>岗位</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证书编号</w:t>
            </w: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专业</w:t>
            </w: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bCs/>
                <w:color w:val="auto"/>
                <w:kern w:val="0"/>
                <w:lang w:eastAsia="zh-CN"/>
              </w:rPr>
              <w:t>备注</w:t>
            </w: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bookmarkEnd w:id="113"/>
      <w:bookmarkEnd w:id="114"/>
      <w:bookmarkEnd w:id="115"/>
      <w:bookmarkEnd w:id="116"/>
      <w:bookmarkEnd w:id="117"/>
      <w:bookmarkEnd w:id="118"/>
      <w:bookmarkEnd w:id="119"/>
    </w:tbl>
    <w:p>
      <w:pPr>
        <w:pStyle w:val="3"/>
        <w:rPr>
          <w:rFonts w:hint="eastAsia" w:ascii="宋体" w:hAnsi="宋体" w:eastAsia="宋体"/>
          <w:color w:val="auto"/>
          <w:u w:val="single"/>
        </w:rPr>
      </w:pPr>
      <w:bookmarkStart w:id="120" w:name="_bookmark318"/>
      <w:bookmarkEnd w:id="120"/>
      <w:bookmarkStart w:id="121" w:name="_Toc234349018"/>
      <w:bookmarkStart w:id="122" w:name="_Toc234345926"/>
      <w:bookmarkStart w:id="123" w:name="_Toc234349592"/>
      <w:bookmarkStart w:id="124" w:name="_Toc265483685"/>
      <w:bookmarkStart w:id="125" w:name="_Toc234346141"/>
    </w:p>
    <w:p>
      <w:pPr>
        <w:rPr>
          <w:rFonts w:hint="eastAsia" w:ascii="宋体" w:hAnsi="宋体"/>
          <w:b/>
          <w:color w:val="auto"/>
          <w:sz w:val="32"/>
          <w:szCs w:val="32"/>
          <w:u w:val="none"/>
        </w:rPr>
      </w:pPr>
      <w:r>
        <w:rPr>
          <w:rFonts w:hint="eastAsia" w:ascii="宋体" w:hAnsi="宋体"/>
          <w:b/>
          <w:color w:val="auto"/>
          <w:sz w:val="32"/>
          <w:szCs w:val="32"/>
          <w:u w:val="none"/>
        </w:rPr>
        <w:br w:type="page"/>
      </w:r>
    </w:p>
    <w:p>
      <w:pPr>
        <w:pStyle w:val="3"/>
        <w:rPr>
          <w:rFonts w:ascii="Times New Roman" w:hAnsi="Times New Roman" w:eastAsia="宋体"/>
          <w:bCs/>
          <w:color w:val="auto"/>
          <w:szCs w:val="32"/>
        </w:rPr>
      </w:pPr>
      <w:r>
        <w:rPr>
          <w:rFonts w:hint="eastAsia" w:ascii="宋体" w:hAnsi="宋体"/>
          <w:b/>
          <w:color w:val="auto"/>
          <w:sz w:val="32"/>
          <w:szCs w:val="32"/>
          <w:u w:val="none"/>
        </w:rPr>
        <w:sym w:font="Wingdings" w:char="00A8"/>
      </w:r>
      <w:r>
        <w:rPr>
          <w:rFonts w:hint="eastAsia" w:ascii="宋体" w:hAnsi="宋体" w:eastAsia="宋体"/>
          <w:color w:val="auto"/>
          <w:u w:val="single"/>
        </w:rPr>
        <w:t>（</w:t>
      </w:r>
      <w:r>
        <w:rPr>
          <w:rFonts w:hint="eastAsia" w:ascii="宋体" w:hAnsi="宋体" w:eastAsia="宋体"/>
          <w:color w:val="auto"/>
          <w:u w:val="single"/>
          <w:lang w:val="en-US" w:eastAsia="zh-CN"/>
        </w:rPr>
        <w:t>**</w:t>
      </w:r>
      <w:r>
        <w:rPr>
          <w:rFonts w:hint="eastAsia" w:ascii="宋体" w:hAnsi="宋体" w:eastAsia="宋体"/>
          <w:color w:val="auto"/>
          <w:u w:val="single"/>
        </w:rPr>
        <w:t xml:space="preserve">） </w:t>
      </w:r>
      <w:r>
        <w:rPr>
          <w:rFonts w:hint="eastAsia" w:ascii="宋体" w:hAnsi="宋体" w:eastAsia="宋体"/>
          <w:color w:val="auto"/>
          <w:u w:val="single"/>
        </w:rPr>
        <w:fldChar w:fldCharType="begin"/>
      </w:r>
      <w:r>
        <w:rPr>
          <w:rFonts w:hint="eastAsia" w:ascii="宋体" w:hAnsi="宋体" w:eastAsia="宋体"/>
          <w:color w:val="auto"/>
          <w:u w:val="single"/>
        </w:rPr>
        <w:instrText xml:space="preserve"> HYPERLINK "javascript:void(0)" </w:instrText>
      </w:r>
      <w:r>
        <w:rPr>
          <w:rFonts w:hint="eastAsia" w:ascii="宋体" w:hAnsi="宋体" w:eastAsia="宋体"/>
          <w:color w:val="auto"/>
          <w:u w:val="single"/>
        </w:rPr>
        <w:fldChar w:fldCharType="separate"/>
      </w:r>
      <w:r>
        <w:rPr>
          <w:rFonts w:hint="eastAsia" w:ascii="宋体" w:hAnsi="宋体" w:eastAsia="宋体"/>
          <w:color w:val="auto"/>
          <w:u w:val="single"/>
        </w:rPr>
        <w:t>投标人获奖</w:t>
      </w:r>
      <w:r>
        <w:rPr>
          <w:rFonts w:hint="eastAsia" w:ascii="宋体" w:hAnsi="宋体" w:eastAsia="宋体"/>
          <w:color w:val="auto"/>
          <w:u w:val="single"/>
        </w:rPr>
        <w:fldChar w:fldCharType="end"/>
      </w:r>
      <w:r>
        <w:rPr>
          <w:rFonts w:hint="eastAsia" w:ascii="宋体" w:hAnsi="宋体" w:eastAsia="宋体"/>
          <w:color w:val="auto"/>
          <w:u w:val="single"/>
        </w:rPr>
        <w:t>汇总表</w:t>
      </w:r>
    </w:p>
    <w:tbl>
      <w:tblPr>
        <w:tblStyle w:val="36"/>
        <w:tblW w:w="4115" w:type="pct"/>
        <w:jc w:val="center"/>
        <w:tblLayout w:type="autofit"/>
        <w:tblCellMar>
          <w:top w:w="0" w:type="dxa"/>
          <w:left w:w="0" w:type="dxa"/>
          <w:bottom w:w="0" w:type="dxa"/>
          <w:right w:w="0" w:type="dxa"/>
        </w:tblCellMar>
      </w:tblPr>
      <w:tblGrid>
        <w:gridCol w:w="613"/>
        <w:gridCol w:w="2484"/>
        <w:gridCol w:w="1249"/>
        <w:gridCol w:w="1249"/>
        <w:gridCol w:w="1847"/>
      </w:tblGrid>
      <w:tr>
        <w:tblPrEx>
          <w:tblCellMar>
            <w:top w:w="0" w:type="dxa"/>
            <w:left w:w="0" w:type="dxa"/>
            <w:bottom w:w="0" w:type="dxa"/>
            <w:right w:w="0" w:type="dxa"/>
          </w:tblCellMar>
        </w:tblPrEx>
        <w:trPr>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序号</w:t>
            </w: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获奖名称</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颁发机构</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颁发时间</w:t>
            </w: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bCs/>
                <w:color w:val="auto"/>
                <w:kern w:val="0"/>
                <w:lang w:eastAsia="zh-CN"/>
              </w:rPr>
              <w:t>备注</w:t>
            </w: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bookmarkEnd w:id="121"/>
      <w:bookmarkEnd w:id="122"/>
      <w:bookmarkEnd w:id="123"/>
      <w:bookmarkEnd w:id="124"/>
      <w:bookmarkEnd w:id="125"/>
    </w:tbl>
    <w:p>
      <w:pPr>
        <w:spacing w:line="360" w:lineRule="auto"/>
        <w:jc w:val="left"/>
        <w:rPr>
          <w:rFonts w:hint="eastAsia"/>
          <w:color w:val="auto"/>
          <w:sz w:val="28"/>
          <w:szCs w:val="28"/>
          <w:highlight w:val="green"/>
          <w:lang w:eastAsia="zh-CN"/>
        </w:rPr>
      </w:pPr>
    </w:p>
    <w:p>
      <w:pPr>
        <w:spacing w:line="360" w:lineRule="auto"/>
        <w:jc w:val="left"/>
        <w:rPr>
          <w:rFonts w:hint="default"/>
          <w:color w:val="auto"/>
          <w:sz w:val="28"/>
          <w:szCs w:val="28"/>
          <w:highlight w:val="green"/>
          <w:lang w:val="en-US"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业绩、人员、获奖从青岛市公共资源交易网主体库中选取，自动生成表格；相关要件从主体库中选取，附在投标文件中表格之后。特殊情况不从青岛主体库选取，手动填写的，需经中心同意。评标及预中标公示使用。</w:t>
      </w:r>
    </w:p>
    <w:p>
      <w:pPr>
        <w:jc w:val="center"/>
        <w:rPr>
          <w:rFonts w:hint="eastAsia" w:ascii="宋体" w:hAnsi="宋体" w:cs="宋体"/>
          <w:sz w:val="72"/>
          <w:szCs w:val="44"/>
          <w:u w:val="single"/>
        </w:rPr>
      </w:pPr>
      <w:r>
        <w:rPr>
          <w:rFonts w:hint="eastAsia"/>
          <w:color w:val="auto"/>
          <w:sz w:val="28"/>
          <w:szCs w:val="28"/>
          <w:highlight w:val="green"/>
          <w:lang w:val="en-US" w:eastAsia="zh-CN"/>
        </w:rPr>
        <w:t>2.</w:t>
      </w:r>
      <w:r>
        <w:rPr>
          <w:rFonts w:hint="eastAsia"/>
          <w:color w:val="auto"/>
          <w:sz w:val="28"/>
          <w:szCs w:val="28"/>
          <w:highlight w:val="green"/>
          <w:lang w:eastAsia="zh-CN"/>
        </w:rPr>
        <w:t>可以前后增减，自行插入资格审查资料文件格式</w:t>
      </w:r>
      <w:r>
        <w:rPr>
          <w:rFonts w:hint="eastAsia"/>
          <w:color w:val="auto"/>
          <w:sz w:val="28"/>
          <w:szCs w:val="28"/>
          <w:highlight w:val="green"/>
          <w:lang w:val="en-US" w:eastAsia="zh-CN"/>
        </w:rPr>
        <w:t>）</w:t>
      </w:r>
      <w:r>
        <w:rPr>
          <w:b/>
          <w:sz w:val="36"/>
          <w:szCs w:val="36"/>
        </w:rPr>
        <w:br w:type="page"/>
      </w:r>
      <w:bookmarkStart w:id="126" w:name="_Toc234349569"/>
      <w:bookmarkStart w:id="127" w:name="_Toc234348995"/>
      <w:bookmarkStart w:id="128" w:name="_Toc234345909"/>
      <w:bookmarkStart w:id="129" w:name="_Toc234346124"/>
      <w:bookmarkStart w:id="130" w:name="_Toc265483680"/>
      <w:r>
        <w:rPr>
          <w:rFonts w:hint="eastAsia" w:ascii="宋体" w:hAnsi="宋体" w:cs="宋体"/>
          <w:sz w:val="72"/>
          <w:szCs w:val="44"/>
          <w:u w:val="single"/>
        </w:rPr>
        <w:t>项目名称</w:t>
      </w:r>
    </w:p>
    <w:p>
      <w:pPr>
        <w:spacing w:line="360" w:lineRule="auto"/>
        <w:jc w:val="center"/>
        <w:rPr>
          <w:rFonts w:ascii="宋体"/>
          <w:sz w:val="32"/>
          <w:szCs w:val="32"/>
        </w:rPr>
      </w:pPr>
      <w:r>
        <w:rPr>
          <w:rFonts w:hint="eastAsia" w:ascii="宋体" w:hAnsi="宋体" w:cs="宋体"/>
          <w:sz w:val="72"/>
          <w:szCs w:val="44"/>
          <w:u w:val="single"/>
        </w:rPr>
        <w:t>（标段）</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sz w:val="72"/>
          <w:szCs w:val="44"/>
        </w:rPr>
      </w:pPr>
      <w:r>
        <w:rPr>
          <w:rFonts w:hint="eastAsia" w:ascii="宋体" w:hAnsi="宋体" w:cs="宋体"/>
          <w:sz w:val="72"/>
          <w:szCs w:val="44"/>
        </w:rPr>
        <w:t>投标文件</w:t>
      </w:r>
    </w:p>
    <w:p>
      <w:pPr>
        <w:jc w:val="center"/>
        <w:rPr>
          <w:rFonts w:ascii="宋体"/>
          <w:sz w:val="72"/>
          <w:szCs w:val="44"/>
        </w:rPr>
      </w:pPr>
    </w:p>
    <w:p>
      <w:pPr>
        <w:jc w:val="center"/>
        <w:rPr>
          <w:rFonts w:ascii="宋体"/>
          <w:sz w:val="48"/>
          <w:szCs w:val="32"/>
        </w:rPr>
      </w:pPr>
      <w:r>
        <w:rPr>
          <w:rFonts w:hint="eastAsia" w:ascii="宋体" w:hAnsi="宋体" w:cs="宋体"/>
          <w:sz w:val="48"/>
          <w:szCs w:val="32"/>
        </w:rPr>
        <w:t>（技术文件）</w:t>
      </w:r>
    </w:p>
    <w:p>
      <w:pPr>
        <w:ind w:left="853" w:leftChars="406"/>
        <w:rPr>
          <w:rFonts w:ascii="宋体"/>
          <w:sz w:val="48"/>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p>
    <w:p>
      <w:pPr>
        <w:ind w:left="2085" w:leftChars="993" w:firstLine="960" w:firstLineChars="300"/>
        <w:rPr>
          <w:rFonts w:ascii="宋体"/>
          <w:sz w:val="32"/>
          <w:szCs w:val="32"/>
        </w:rPr>
      </w:pPr>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p>
    <w:p>
      <w:pPr>
        <w:spacing w:line="360" w:lineRule="auto"/>
        <w:ind w:firstLine="723" w:firstLineChars="200"/>
        <w:rPr>
          <w:color w:val="000000"/>
        </w:rPr>
      </w:pPr>
      <w:r>
        <w:rPr>
          <w:b/>
          <w:sz w:val="36"/>
          <w:szCs w:val="36"/>
        </w:rPr>
        <w:br w:type="page"/>
      </w:r>
      <w:bookmarkEnd w:id="126"/>
      <w:bookmarkEnd w:id="127"/>
      <w:bookmarkEnd w:id="128"/>
      <w:bookmarkEnd w:id="129"/>
      <w:bookmarkEnd w:id="130"/>
    </w:p>
    <w:p>
      <w:pPr>
        <w:spacing w:line="360" w:lineRule="auto"/>
        <w:ind w:firstLine="480" w:firstLineChars="200"/>
        <w:rPr>
          <w:rFonts w:ascii="宋体" w:hAnsi="宋体"/>
          <w:sz w:val="24"/>
        </w:rPr>
      </w:pPr>
    </w:p>
    <w:p>
      <w:pPr>
        <w:spacing w:line="360" w:lineRule="auto"/>
        <w:ind w:firstLine="560" w:firstLineChars="200"/>
        <w:rPr>
          <w:rFonts w:ascii="宋体" w:hAnsi="宋体"/>
          <w:sz w:val="24"/>
        </w:rPr>
      </w:pPr>
      <w:r>
        <w:rPr>
          <w:sz w:val="28"/>
        </w:rPr>
        <mc:AlternateContent>
          <mc:Choice Requires="wps">
            <w:drawing>
              <wp:anchor distT="0" distB="0" distL="114300" distR="114300" simplePos="0" relativeHeight="251665408" behindDoc="0" locked="0" layoutInCell="1" allowOverlap="1">
                <wp:simplePos x="0" y="0"/>
                <wp:positionH relativeFrom="column">
                  <wp:posOffset>1555115</wp:posOffset>
                </wp:positionH>
                <wp:positionV relativeFrom="paragraph">
                  <wp:posOffset>240030</wp:posOffset>
                </wp:positionV>
                <wp:extent cx="2372995" cy="1127125"/>
                <wp:effectExtent l="12700" t="12700" r="14605" b="22225"/>
                <wp:wrapNone/>
                <wp:docPr id="5" name="矩形 5"/>
                <wp:cNvGraphicFramePr/>
                <a:graphic xmlns:a="http://schemas.openxmlformats.org/drawingml/2006/main">
                  <a:graphicData uri="http://schemas.microsoft.com/office/word/2010/wordprocessingShape">
                    <wps:wsp>
                      <wps:cNvSpPr/>
                      <wps:spPr>
                        <a:xfrm>
                          <a:off x="0" y="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自行插入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2.45pt;margin-top:18.9pt;height:88.75pt;width:186.85pt;z-index:251665408;v-text-anchor:middle;mso-width-relative:page;mso-height-relative:page;" fillcolor="#FFFFFF [3201]" filled="t" stroked="t" coordsize="21600,21600" o:gfxdata="UEsDBAoAAAAAAIdO4kAAAAAAAAAAAAAAAAAEAAAAZHJzL1BLAwQUAAAACACHTuJARzmx39kAAAAK&#10;AQAADwAAAGRycy9kb3ducmV2LnhtbE2PQUvDQBCF74L/YRnBm92krbGN2RQVPIhQSFW8brPjJjQ7&#10;G7LbJP57x5Meh/fx5nvFbnadGHEIrScF6SIBgVR705JV8P72fLMBEaImoztPqOAbA+zKy4tC58ZP&#10;VOF4iFZwCYVcK2hi7HMpQ92g02HheyTOvvzgdORzsNIMeuJy18llkmTS6Zb4Q6N7fGqwPh3OTsHU&#10;Vp8vOPqsf9jPJ/thqu2rfVTq+ipN7kFEnOMfDL/6rA4lOx39mUwQnYLler1lVMHqjicwkKWbDMSR&#10;k/R2BbIs5P8J5Q9QSwMEFAAAAAgAh07iQHFqbFZuAgAA6QQAAA4AAABkcnMvZTJvRG9jLnhtbK1U&#10;S27bMBDdF+gdCO4bWaod10bkwIjhokDQGEiLrmmKsgTwV5K2nF6mQHc9RI9T9Bp9pJRvs8iiXtAz&#10;muGbmTczPDs/KkkOwvnW6JLmJyNKhOamavWupJ8/rd+8o8QHpismjRYlvRGeni9evzrr7FwUpjGy&#10;Eo4ARPt5Z0vahGDnWeZ5IxTzJ8YKDWNtnGIBqttllWMd0JXMitHoNOuMq6wzXHiPr6veSAdE9xJA&#10;U9ctFyvD90ro0KM6IVlASb5praeLlG1dCx6u6tqLQGRJUWlIJ4JA3sYzW5yx+c4x27R8SIG9JIUn&#10;NSnWagS9g1qxwMjetf9AqZY7400dTrhRWV9IYgRV5KMn3Fw3zIpUC6j29o50//9g+cfDxpG2KumE&#10;Es0UGv7n+8/fv36QSeSms34Ol2u7cYPmIcZCj7VT8R8lkGPi8+aOT3EMhONj8XZazGYA5rDleTHN&#10;i4Sa3V+3zof3wigShZI6NCzxyA6XPiAkXG9dYjRvZFutWymT4nbbC+nIgaG56/SLOePKIzepSYdc&#10;JuMRms4ZRrbGqEBUFmV7vaOEyR12gQeXYj+67R8Fmc5Ox6fPBYlJrphv+mQSwuAmNVKKPPbMRSkc&#10;t8eBzq2pbtAAZ/rJ9JavW0BdMh82zGEUkTOWNVzhqKVBIWaQKGmM+/bc9+iPCYGVkg6jjSK/7pkT&#10;lMgPGrMzy8fjuAtJGU+mBRT30LJ9aNF7dWFAcI5nwfIkRv8gb8XaGfUFO72MUWFimiN2T+egXIR+&#10;5fAqcLFcJjfMv2XhUl9bHsFjQ7VZ7oOp29T4SFTPzsAfNiA1d9jWuGIP9eR1/0I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ObHf2QAAAAoBAAAPAAAAAAAAAAEAIAAAACIAAABkcnMvZG93bnJl&#10;di54bWxQSwECFAAUAAAACACHTuJAcWpsVm4CAADpBAAADgAAAAAAAAABACAAAAAoAQAAZHJzL2Uy&#10;b0RvYy54bWxQSwUGAAAAAAYABgBZAQAACAYAAAAA&#10;">
                <v:fill on="t" focussize="0,0"/>
                <v:stroke weight="2pt" color="#F79646 [3209]"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jc w:val="left"/>
        <w:rPr>
          <w:rFonts w:ascii="宋体" w:hAnsi="宋体"/>
          <w:sz w:val="24"/>
        </w:rPr>
      </w:pPr>
      <w:r>
        <w:rPr>
          <w:rFonts w:hint="eastAsia"/>
          <w:color w:val="auto"/>
          <w:sz w:val="28"/>
          <w:szCs w:val="28"/>
          <w:highlight w:val="green"/>
          <w:lang w:eastAsia="zh-CN"/>
        </w:rPr>
        <w:t>（注：</w:t>
      </w:r>
      <w:r>
        <w:rPr>
          <w:rFonts w:hint="eastAsia"/>
          <w:color w:val="auto"/>
          <w:sz w:val="28"/>
          <w:szCs w:val="28"/>
          <w:highlight w:val="green"/>
          <w:lang w:val="en-US" w:eastAsia="zh-CN"/>
        </w:rPr>
        <w:t>1.满足明标、暗标要求。暗标，投标单位按照系统给定模版填写后系统自动排版。明标，投标单位自行插入技术标文件。）</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20" w:firstLineChars="200"/>
        <w:rPr>
          <w:rFonts w:ascii="宋体" w:hAnsi="宋体"/>
          <w:szCs w:val="21"/>
        </w:rPr>
      </w:pPr>
      <w:r>
        <w:rPr>
          <w:rFonts w:ascii="宋体" w:hAnsi="宋体"/>
          <w:szCs w:val="21"/>
        </w:rPr>
        <w:br w:type="page"/>
      </w:r>
    </w:p>
    <w:p>
      <w:pPr>
        <w:jc w:val="center"/>
        <w:rPr>
          <w:rFonts w:hint="eastAsia" w:ascii="宋体" w:hAnsi="宋体" w:cs="宋体"/>
          <w:sz w:val="72"/>
          <w:szCs w:val="44"/>
          <w:u w:val="single"/>
        </w:rPr>
      </w:pPr>
      <w:r>
        <w:rPr>
          <w:rFonts w:hint="eastAsia" w:ascii="宋体" w:hAnsi="宋体" w:cs="宋体"/>
          <w:sz w:val="72"/>
          <w:szCs w:val="44"/>
          <w:u w:val="single"/>
        </w:rPr>
        <w:t>项目名称</w:t>
      </w:r>
    </w:p>
    <w:p>
      <w:pPr>
        <w:jc w:val="center"/>
        <w:rPr>
          <w:rFonts w:ascii="宋体"/>
          <w:sz w:val="32"/>
          <w:szCs w:val="32"/>
        </w:rPr>
      </w:pPr>
      <w:r>
        <w:rPr>
          <w:rFonts w:hint="eastAsia" w:ascii="宋体" w:hAnsi="宋体" w:cs="宋体"/>
          <w:sz w:val="72"/>
          <w:szCs w:val="44"/>
          <w:u w:val="single"/>
        </w:rPr>
        <w:t>（标段）</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hAnsi="宋体" w:cs="宋体"/>
          <w:sz w:val="52"/>
          <w:szCs w:val="44"/>
        </w:rPr>
      </w:pPr>
      <w:r>
        <w:rPr>
          <w:rFonts w:hint="eastAsia" w:ascii="宋体" w:hAnsi="宋体" w:cs="宋体"/>
          <w:sz w:val="52"/>
          <w:szCs w:val="44"/>
        </w:rPr>
        <w:t>投标文件</w:t>
      </w:r>
    </w:p>
    <w:p>
      <w:pPr>
        <w:jc w:val="center"/>
        <w:rPr>
          <w:rFonts w:ascii="宋体"/>
          <w:sz w:val="52"/>
          <w:szCs w:val="44"/>
        </w:rPr>
      </w:pPr>
    </w:p>
    <w:p>
      <w:pPr>
        <w:jc w:val="center"/>
        <w:rPr>
          <w:rFonts w:ascii="宋体"/>
          <w:sz w:val="40"/>
          <w:szCs w:val="32"/>
        </w:rPr>
      </w:pPr>
      <w:r>
        <w:rPr>
          <w:rFonts w:hint="eastAsia" w:ascii="宋体"/>
          <w:sz w:val="40"/>
          <w:szCs w:val="32"/>
        </w:rPr>
        <w:t>（报价文件）</w:t>
      </w:r>
    </w:p>
    <w:p>
      <w:pPr>
        <w:jc w:val="center"/>
        <w:rPr>
          <w:rFonts w:ascii="宋体"/>
          <w:sz w:val="44"/>
          <w:szCs w:val="44"/>
        </w:rPr>
      </w:pPr>
    </w:p>
    <w:p>
      <w:pPr>
        <w:jc w:val="center"/>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r>
        <w:rPr>
          <w:rFonts w:hint="eastAsia" w:ascii="宋体" w:hAnsi="宋体" w:cs="宋体"/>
          <w:sz w:val="32"/>
          <w:szCs w:val="32"/>
        </w:rPr>
        <w:t>投标人：</w:t>
      </w:r>
      <w:r>
        <w:rPr>
          <w:rFonts w:ascii="宋体" w:hAnsi="宋体" w:cs="宋体"/>
          <w:sz w:val="32"/>
          <w:szCs w:val="32"/>
        </w:rPr>
        <w:t>____________________</w:t>
      </w:r>
      <w:r>
        <w:rPr>
          <w:rFonts w:hint="eastAsia" w:ascii="宋体" w:hAnsi="宋体" w:cs="宋体"/>
          <w:sz w:val="32"/>
          <w:szCs w:val="32"/>
        </w:rPr>
        <w:t>（盖单位章）</w:t>
      </w:r>
    </w:p>
    <w:p>
      <w:pPr>
        <w:snapToGrid w:val="0"/>
        <w:spacing w:line="360" w:lineRule="auto"/>
        <w:ind w:left="2226" w:leftChars="1060" w:firstLine="800" w:firstLineChars="250"/>
        <w:rPr>
          <w:rFonts w:ascii="宋体"/>
          <w:sz w:val="32"/>
          <w:szCs w:val="32"/>
        </w:rPr>
      </w:pPr>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p>
    <w:p>
      <w:pPr>
        <w:snapToGrid w:val="0"/>
        <w:spacing w:line="360" w:lineRule="auto"/>
        <w:jc w:val="center"/>
        <w:rPr>
          <w:sz w:val="28"/>
          <w:szCs w:val="28"/>
        </w:rPr>
      </w:pPr>
      <w:r>
        <w:br w:type="page"/>
      </w:r>
      <w:r>
        <w:rPr>
          <w:rFonts w:hint="eastAsia" w:cs="宋体"/>
          <w:sz w:val="28"/>
          <w:szCs w:val="28"/>
        </w:rPr>
        <w:t>目录</w:t>
      </w:r>
    </w:p>
    <w:p>
      <w:pPr>
        <w:snapToGrid w:val="0"/>
        <w:spacing w:line="360" w:lineRule="auto"/>
        <w:rPr>
          <w:rFonts w:ascii="宋体"/>
          <w:sz w:val="24"/>
        </w:rPr>
      </w:pPr>
    </w:p>
    <w:p>
      <w:pPr>
        <w:spacing w:line="360" w:lineRule="auto"/>
        <w:jc w:val="left"/>
        <w:rPr>
          <w:rFonts w:hint="default" w:ascii="宋体" w:eastAsia="宋体"/>
          <w:sz w:val="24"/>
          <w:u w:val="single"/>
          <w:lang w:val="en-US" w:eastAsia="zh-CN"/>
        </w:rPr>
      </w:pPr>
      <w:r>
        <w:rPr>
          <w:rFonts w:hint="eastAsia" w:ascii="宋体" w:hAnsi="宋体" w:cs="宋体"/>
          <w:sz w:val="24"/>
          <w:u w:val="single"/>
        </w:rPr>
        <w:t>一、</w:t>
      </w:r>
      <w:r>
        <w:rPr>
          <w:rFonts w:hint="eastAsia" w:ascii="宋体" w:hAnsi="宋体" w:cs="宋体"/>
          <w:sz w:val="24"/>
          <w:u w:val="single"/>
          <w:lang w:val="en-US" w:eastAsia="zh-CN"/>
        </w:rPr>
        <w:t>***</w:t>
      </w:r>
    </w:p>
    <w:p>
      <w:pPr>
        <w:jc w:val="left"/>
        <w:rPr>
          <w:rFonts w:hint="default" w:ascii="宋体" w:eastAsia="宋体"/>
          <w:sz w:val="24"/>
          <w:u w:val="single"/>
          <w:lang w:val="en-US" w:eastAsia="zh-CN"/>
        </w:rPr>
      </w:pPr>
      <w:r>
        <w:rPr>
          <w:rFonts w:hint="eastAsia" w:ascii="宋体"/>
          <w:sz w:val="24"/>
          <w:u w:val="single"/>
          <w:lang w:val="en-US" w:eastAsia="zh-CN"/>
        </w:rPr>
        <w:t>**、***</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spacing w:line="360" w:lineRule="auto"/>
        <w:jc w:val="center"/>
        <w:rPr>
          <w:rFonts w:hint="eastAsia" w:ascii="宋体"/>
          <w:sz w:val="24"/>
          <w:u w:val="single"/>
          <w:lang w:val="en-US" w:eastAsia="zh-CN"/>
        </w:rPr>
      </w:pPr>
      <w:r>
        <w:rPr>
          <w:rFonts w:cs="宋体"/>
          <w:b/>
          <w:bCs/>
          <w:sz w:val="36"/>
          <w:szCs w:val="36"/>
        </w:rPr>
        <w:br w:type="page"/>
      </w:r>
      <w:r>
        <w:rPr>
          <w:sz w:val="28"/>
        </w:rPr>
        <mc:AlternateContent>
          <mc:Choice Requires="wps">
            <w:drawing>
              <wp:anchor distT="0" distB="0" distL="114300" distR="114300" simplePos="0" relativeHeight="251666432" behindDoc="0" locked="0" layoutInCell="1" allowOverlap="1">
                <wp:simplePos x="0" y="0"/>
                <wp:positionH relativeFrom="column">
                  <wp:posOffset>1598295</wp:posOffset>
                </wp:positionH>
                <wp:positionV relativeFrom="paragraph">
                  <wp:posOffset>1116330</wp:posOffset>
                </wp:positionV>
                <wp:extent cx="2372995" cy="1127125"/>
                <wp:effectExtent l="12700" t="12700" r="14605" b="22225"/>
                <wp:wrapNone/>
                <wp:docPr id="15" name="矩形 15"/>
                <wp:cNvGraphicFramePr/>
                <a:graphic xmlns:a="http://schemas.openxmlformats.org/drawingml/2006/main">
                  <a:graphicData uri="http://schemas.microsoft.com/office/word/2010/wordprocessingShape">
                    <wps:wsp>
                      <wps:cNvSpPr/>
                      <wps:spPr>
                        <a:xfrm>
                          <a:off x="0" y="0"/>
                          <a:ext cx="2372995" cy="11271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自行插入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85pt;margin-top:87.9pt;height:88.75pt;width:186.85pt;z-index:251666432;v-text-anchor:middle;mso-width-relative:page;mso-height-relative:page;" fillcolor="#FFFFFF [3201]" filled="t" stroked="t" coordsize="21600,21600" o:gfxdata="UEsDBAoAAAAAAIdO4kAAAAAAAAAAAAAAAAAEAAAAZHJzL1BLAwQUAAAACACHTuJAiNgG1toAAAAL&#10;AQAADwAAAGRycy9kb3ducmV2LnhtbE2PTUvEMBCG74L/IYzgzU0/bFdr00UFDyIIXRWv2WZsyzaT&#10;0mTb+u8dT3oc3od3nrfcrXYQM06+d6Qg3kQgkBpnemoVvL89Xd2A8EGT0YMjVPCNHnbV+VmpC+MW&#10;qnHeh1ZwCflCK+hCGAspfdOh1X7jRiTOvtxkdeBzaqWZ9MLldpBJFOXS6p74Q6dHfOywOe5PVsHS&#10;15/POLt8vH9dj+2HqW9f2gelLi/i6A5EwDX8wfCrz+pQsdPBnch4MShIsnjLKAfbjDcwkSfZNYiD&#10;gjRLU5BVKf9vqH4AUEsDBBQAAAAIAIdO4kBeFIU4bgIAAOsEAAAOAAAAZHJzL2Uyb0RvYy54bWyt&#10;VM1uEzEQviPxDpbvdLNL2pCoSRU1CkKqaKWCODteO7uS/7CdbMrLIHHjIXgcxGvw2bv9pYceyGEz&#10;4xl/M/PNjE/PDlqRvfChtWZOy6MRJcJwW7dmO6efP63fvKMkRGZqpqwRc3ojAj1bvH512rmZqGxj&#10;VS08AYgJs87NaROjmxVF4I3QLBxZJwyM0nrNIlS/LWrPOqBrVVSj0UnRWV87b7kIAaer3kgHRP8S&#10;QCtly8XK8p0WJvaoXigWUVJoWhfoImcrpeDxUsogIlFzikpj/iII5E36FotTNtt65pqWDymwl6Tw&#10;pCbNWoOgd1ArFhnZ+fYfKN1yb4OV8YhbXfSFZEZQRTl6ws11w5zItYDq4O5ID/8Pln/cX3nS1piE&#10;Y0oM0+j4n+8/f//6QXAAdjoXZnC6dld+0ALEVOpBep3+UQQ5ZEZv7hgVh0g4Dqu3k2o6BTKHrSyr&#10;SVll1OL+uvMhvhdWkyTMqUfLMpNsfxEiQsL11iVFC1a19bpVKit+uzlXnuwZ2rvOv5QzrjxyU4Z0&#10;yOV4PELbOcPQSgwLRO1QeDBbSpjaYht49Dn2o9vhUZDJ9GR88lyQlOSKhaZPJiMMbsogpcRjz1yS&#10;4mFzGOjc2PoGLfC2n83g+LoF1AUL8Yp5DCNyxrrGS3yksijEDhIljfXfnjtP/pgRWCnpMNwo8uuO&#10;eUGJ+mAwPdNyPE7bkJXx8aSC4h9aNg8tZqfPLQgu8TA4nsXkH9WtKL3VX7DVyxQVJmY4Yvd0Dsp5&#10;7JcO7wIXy2V2wwY4Fi/MteMJPDXU2OUuWtnmxieienYG/rADubnDvqYle6hnr/s3av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iNgG1toAAAALAQAADwAAAAAAAAABACAAAAAiAAAAZHJzL2Rvd25y&#10;ZXYueG1sUEsBAhQAFAAAAAgAh07iQF4UhThuAgAA6wQAAA4AAAAAAAAAAQAgAAAAKQEAAGRycy9l&#10;Mm9Eb2MueG1sUEsFBgAAAAAGAAYAWQEAAAkGAAAAAA==&#10;">
                <v:fill on="t" focussize="0,0"/>
                <v:stroke weight="2pt" color="#F79646 [3209]"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mc:Fallback>
        </mc:AlternateContent>
      </w:r>
      <w:r>
        <w:rPr>
          <w:rFonts w:hint="eastAsia" w:ascii="宋体"/>
          <w:sz w:val="24"/>
          <w:u w:val="single"/>
          <w:lang w:val="en-US" w:eastAsia="zh-CN"/>
        </w:rPr>
        <w:t>**、***</w:t>
      </w: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color w:val="auto"/>
          <w:sz w:val="28"/>
          <w:szCs w:val="28"/>
          <w:highlight w:val="green"/>
          <w:lang w:val="en-US" w:eastAsia="zh-CN"/>
        </w:rPr>
      </w:pPr>
      <w:r>
        <w:rPr>
          <w:rFonts w:hint="eastAsia"/>
          <w:color w:val="auto"/>
          <w:sz w:val="28"/>
          <w:szCs w:val="28"/>
          <w:highlight w:val="green"/>
          <w:lang w:eastAsia="zh-CN"/>
        </w:rPr>
        <w:t>（注：可以前后增减，自行插入投标文件格式</w:t>
      </w:r>
      <w:r>
        <w:rPr>
          <w:rFonts w:hint="eastAsia"/>
          <w:color w:val="auto"/>
          <w:sz w:val="28"/>
          <w:szCs w:val="28"/>
          <w:highlight w:val="green"/>
          <w:lang w:val="en-US" w:eastAsia="zh-CN"/>
        </w:rPr>
        <w:t>）</w:t>
      </w:r>
    </w:p>
    <w:p>
      <w:pPr>
        <w:rPr>
          <w:rFonts w:hint="eastAsia"/>
          <w:color w:val="auto"/>
          <w:sz w:val="28"/>
          <w:szCs w:val="28"/>
          <w:highlight w:val="green"/>
          <w:lang w:val="en-US" w:eastAsia="zh-CN"/>
        </w:rPr>
      </w:pPr>
      <w:r>
        <w:rPr>
          <w:rFonts w:hint="eastAsia"/>
          <w:color w:val="auto"/>
          <w:sz w:val="28"/>
          <w:szCs w:val="28"/>
          <w:highlight w:val="green"/>
          <w:lang w:val="en-US" w:eastAsia="zh-CN"/>
        </w:rPr>
        <w:br w:type="page"/>
      </w:r>
    </w:p>
    <w:p>
      <w:pPr>
        <w:spacing w:line="360" w:lineRule="auto"/>
        <w:jc w:val="center"/>
        <w:rPr>
          <w:rFonts w:hint="eastAsia"/>
          <w:color w:val="auto"/>
          <w:sz w:val="28"/>
          <w:szCs w:val="28"/>
          <w:highlight w:val="green"/>
          <w:lang w:val="en-US"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1.考虑评定分离；2.考虑交易大数据数据归集；3.为下一步智能评审做好准备；4.为数字见证形成见证清单做好准备；5.为代理清标、辅助评标做好准备）</w:t>
      </w:r>
    </w:p>
    <w:sectPr>
      <w:headerReference r:id="rId9" w:type="default"/>
      <w:footerReference r:id="rId10" w:type="default"/>
      <w:footerReference r:id="rId11" w:type="even"/>
      <w:footnotePr>
        <w:numFmt w:val="decimalEnclosedCircleChinese"/>
        <w:numRestart w:val="eachPage"/>
      </w:footnotePr>
      <w:pgSz w:w="11906" w:h="16838"/>
      <w:pgMar w:top="1418" w:right="1440" w:bottom="1418"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158</w:t>
    </w:r>
    <w:r>
      <w:rPr>
        <w:rStyle w:val="40"/>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rPr>
        <w:rStyle w:val="40"/>
      </w:rPr>
      <w:fldChar w:fldCharType="begin"/>
    </w:r>
    <w:r>
      <w:rPr>
        <w:rStyle w:val="40"/>
      </w:rPr>
      <w:instrText xml:space="preserve"> PAGE  </w:instrText>
    </w:r>
    <w:r>
      <w:rPr>
        <w:rStyle w:val="40"/>
      </w:rPr>
      <w:fldChar w:fldCharType="separate"/>
    </w:r>
    <w:r>
      <w:rPr>
        <w:rStyle w:val="40"/>
      </w:rPr>
      <w:t>1</w:t>
    </w:r>
    <w:r>
      <w:rPr>
        <w:rStyle w:val="40"/>
      </w:rP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134</w:t>
    </w:r>
    <w:r>
      <w:rPr>
        <w:rStyle w:val="40"/>
      </w:rPr>
      <w:fldChar w:fldCharType="end"/>
    </w:r>
  </w:p>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B1642"/>
    <w:multiLevelType w:val="singleLevel"/>
    <w:tmpl w:val="BD5B1642"/>
    <w:lvl w:ilvl="0" w:tentative="0">
      <w:start w:val="1"/>
      <w:numFmt w:val="decimal"/>
      <w:lvlText w:val="%1."/>
      <w:lvlJc w:val="left"/>
      <w:pPr>
        <w:tabs>
          <w:tab w:val="left" w:pos="312"/>
        </w:tabs>
      </w:pPr>
    </w:lvl>
  </w:abstractNum>
  <w:abstractNum w:abstractNumId="1">
    <w:nsid w:val="3D54D657"/>
    <w:multiLevelType w:val="singleLevel"/>
    <w:tmpl w:val="3D54D65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NotTrackMoves/>
  <w:documentProtection w:enforcement="0"/>
  <w:defaultTabStop w:val="420"/>
  <w:drawingGridHorizontalSpacing w:val="2"/>
  <w:drawingGridVerticalSpacing w:val="2"/>
  <w:displayHorizontalDrawingGridEvery w:val="1"/>
  <w:displayVerticalDrawingGridEvery w:val="1"/>
  <w:noPunctuationKerning w:val="1"/>
  <w:characterSpacingControl w:val="compressPunctuation"/>
  <w:noLineBreaksAfter w:lang="zh-CN" w:val="$([{£¥·‘“〈《「『【〔〖〝﹙﹛﹝＄（．［｛￡￥"/>
  <w:noLineBreaksBefore w:lang="zh-CN" w:val="!%),.:;&gt;?]}¢¨°·ˇˉ―‖’”…‰′″›℃∶、。〃〉》」』】〕〗〞︶︺︾﹀﹄﹚﹜﹞！＂％＇），．：；？］｀｜｝～￠"/>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MDFiNmJlYjQwMzJhMjExN2U4ZmY1MjUwOTEzOTEifQ=="/>
  </w:docVars>
  <w:rsids>
    <w:rsidRoot w:val="00172A27"/>
    <w:rsid w:val="0000060E"/>
    <w:rsid w:val="00001632"/>
    <w:rsid w:val="0000255C"/>
    <w:rsid w:val="00002B04"/>
    <w:rsid w:val="00002C6A"/>
    <w:rsid w:val="000042FE"/>
    <w:rsid w:val="00004A96"/>
    <w:rsid w:val="0000660E"/>
    <w:rsid w:val="000069D6"/>
    <w:rsid w:val="000069F5"/>
    <w:rsid w:val="00006A0A"/>
    <w:rsid w:val="00007C28"/>
    <w:rsid w:val="00011169"/>
    <w:rsid w:val="00013CEC"/>
    <w:rsid w:val="00015DCC"/>
    <w:rsid w:val="000167D8"/>
    <w:rsid w:val="00021987"/>
    <w:rsid w:val="00022734"/>
    <w:rsid w:val="00023331"/>
    <w:rsid w:val="000234B4"/>
    <w:rsid w:val="0002447E"/>
    <w:rsid w:val="000246F5"/>
    <w:rsid w:val="000253AF"/>
    <w:rsid w:val="00025B76"/>
    <w:rsid w:val="00025C46"/>
    <w:rsid w:val="0002629E"/>
    <w:rsid w:val="00026724"/>
    <w:rsid w:val="00026F39"/>
    <w:rsid w:val="00027A4C"/>
    <w:rsid w:val="00030697"/>
    <w:rsid w:val="00030E12"/>
    <w:rsid w:val="000320DA"/>
    <w:rsid w:val="00033B33"/>
    <w:rsid w:val="0003491E"/>
    <w:rsid w:val="00034B49"/>
    <w:rsid w:val="00035ECE"/>
    <w:rsid w:val="00035F14"/>
    <w:rsid w:val="0003609C"/>
    <w:rsid w:val="000430CB"/>
    <w:rsid w:val="00043891"/>
    <w:rsid w:val="00043D22"/>
    <w:rsid w:val="00046767"/>
    <w:rsid w:val="00046A6B"/>
    <w:rsid w:val="00047203"/>
    <w:rsid w:val="00047587"/>
    <w:rsid w:val="00051BF1"/>
    <w:rsid w:val="00051CA4"/>
    <w:rsid w:val="00052486"/>
    <w:rsid w:val="000539CA"/>
    <w:rsid w:val="00053EFC"/>
    <w:rsid w:val="00055D58"/>
    <w:rsid w:val="000562C9"/>
    <w:rsid w:val="00056593"/>
    <w:rsid w:val="00060613"/>
    <w:rsid w:val="000611A3"/>
    <w:rsid w:val="00061421"/>
    <w:rsid w:val="00061446"/>
    <w:rsid w:val="000623CF"/>
    <w:rsid w:val="00062953"/>
    <w:rsid w:val="00063C86"/>
    <w:rsid w:val="00063F74"/>
    <w:rsid w:val="000658A7"/>
    <w:rsid w:val="00071292"/>
    <w:rsid w:val="000718F7"/>
    <w:rsid w:val="00074C5A"/>
    <w:rsid w:val="00075CCB"/>
    <w:rsid w:val="00076038"/>
    <w:rsid w:val="00081C87"/>
    <w:rsid w:val="00081FD1"/>
    <w:rsid w:val="00082498"/>
    <w:rsid w:val="000837FE"/>
    <w:rsid w:val="0008398D"/>
    <w:rsid w:val="00086F2C"/>
    <w:rsid w:val="00087640"/>
    <w:rsid w:val="00087937"/>
    <w:rsid w:val="000879E4"/>
    <w:rsid w:val="00087AD4"/>
    <w:rsid w:val="0009008F"/>
    <w:rsid w:val="00090264"/>
    <w:rsid w:val="00090E97"/>
    <w:rsid w:val="00091116"/>
    <w:rsid w:val="00091C8E"/>
    <w:rsid w:val="00093845"/>
    <w:rsid w:val="00093D8A"/>
    <w:rsid w:val="00093EF9"/>
    <w:rsid w:val="00096246"/>
    <w:rsid w:val="000965FF"/>
    <w:rsid w:val="000A27AD"/>
    <w:rsid w:val="000A3F0B"/>
    <w:rsid w:val="000A3F64"/>
    <w:rsid w:val="000A4B91"/>
    <w:rsid w:val="000A52CC"/>
    <w:rsid w:val="000A579B"/>
    <w:rsid w:val="000A5C6F"/>
    <w:rsid w:val="000A6D9A"/>
    <w:rsid w:val="000A7EA6"/>
    <w:rsid w:val="000B212A"/>
    <w:rsid w:val="000B25DA"/>
    <w:rsid w:val="000B2E8D"/>
    <w:rsid w:val="000B3E3A"/>
    <w:rsid w:val="000B5E9B"/>
    <w:rsid w:val="000B61DA"/>
    <w:rsid w:val="000B77CD"/>
    <w:rsid w:val="000B7EF6"/>
    <w:rsid w:val="000C0A2C"/>
    <w:rsid w:val="000C220F"/>
    <w:rsid w:val="000C22E2"/>
    <w:rsid w:val="000C26FA"/>
    <w:rsid w:val="000C29C1"/>
    <w:rsid w:val="000C2CAA"/>
    <w:rsid w:val="000C4F01"/>
    <w:rsid w:val="000C4F0C"/>
    <w:rsid w:val="000C5D49"/>
    <w:rsid w:val="000D0FFC"/>
    <w:rsid w:val="000D1A0C"/>
    <w:rsid w:val="000D5F45"/>
    <w:rsid w:val="000D7B75"/>
    <w:rsid w:val="000E0766"/>
    <w:rsid w:val="000E16D5"/>
    <w:rsid w:val="000E3351"/>
    <w:rsid w:val="000E4532"/>
    <w:rsid w:val="000E46F6"/>
    <w:rsid w:val="000E4835"/>
    <w:rsid w:val="000E492F"/>
    <w:rsid w:val="000E68F6"/>
    <w:rsid w:val="000E6CC1"/>
    <w:rsid w:val="000F13D2"/>
    <w:rsid w:val="000F1743"/>
    <w:rsid w:val="000F2845"/>
    <w:rsid w:val="000F4904"/>
    <w:rsid w:val="000F49E0"/>
    <w:rsid w:val="000F539D"/>
    <w:rsid w:val="000F6FB6"/>
    <w:rsid w:val="000F70EE"/>
    <w:rsid w:val="001018E0"/>
    <w:rsid w:val="0010481D"/>
    <w:rsid w:val="00105A09"/>
    <w:rsid w:val="00105D4C"/>
    <w:rsid w:val="00107889"/>
    <w:rsid w:val="00107CEA"/>
    <w:rsid w:val="00110D5C"/>
    <w:rsid w:val="00112488"/>
    <w:rsid w:val="00112600"/>
    <w:rsid w:val="00117681"/>
    <w:rsid w:val="00123BFA"/>
    <w:rsid w:val="001244A5"/>
    <w:rsid w:val="00124DAC"/>
    <w:rsid w:val="001252A2"/>
    <w:rsid w:val="001254AD"/>
    <w:rsid w:val="00131A00"/>
    <w:rsid w:val="0013219B"/>
    <w:rsid w:val="001324BC"/>
    <w:rsid w:val="00132B8A"/>
    <w:rsid w:val="0013438A"/>
    <w:rsid w:val="00134722"/>
    <w:rsid w:val="001402BA"/>
    <w:rsid w:val="00140BE4"/>
    <w:rsid w:val="0014147D"/>
    <w:rsid w:val="0014255E"/>
    <w:rsid w:val="00143197"/>
    <w:rsid w:val="001433EB"/>
    <w:rsid w:val="00145024"/>
    <w:rsid w:val="001451BB"/>
    <w:rsid w:val="001459D3"/>
    <w:rsid w:val="00145F91"/>
    <w:rsid w:val="00145FB5"/>
    <w:rsid w:val="001463C0"/>
    <w:rsid w:val="00147418"/>
    <w:rsid w:val="00147516"/>
    <w:rsid w:val="0015179E"/>
    <w:rsid w:val="001528CF"/>
    <w:rsid w:val="001533E5"/>
    <w:rsid w:val="00153CFC"/>
    <w:rsid w:val="00154A17"/>
    <w:rsid w:val="00155FCB"/>
    <w:rsid w:val="001562E1"/>
    <w:rsid w:val="00156BE6"/>
    <w:rsid w:val="00156FFE"/>
    <w:rsid w:val="001571D5"/>
    <w:rsid w:val="001578EF"/>
    <w:rsid w:val="0016140A"/>
    <w:rsid w:val="001616E3"/>
    <w:rsid w:val="00161F90"/>
    <w:rsid w:val="001636B9"/>
    <w:rsid w:val="00163EEB"/>
    <w:rsid w:val="00164544"/>
    <w:rsid w:val="00164B88"/>
    <w:rsid w:val="00170A78"/>
    <w:rsid w:val="00170B2A"/>
    <w:rsid w:val="00172A27"/>
    <w:rsid w:val="00173201"/>
    <w:rsid w:val="00173A3C"/>
    <w:rsid w:val="00173A9B"/>
    <w:rsid w:val="001741C3"/>
    <w:rsid w:val="001760D5"/>
    <w:rsid w:val="00177532"/>
    <w:rsid w:val="0017762B"/>
    <w:rsid w:val="00177B29"/>
    <w:rsid w:val="00180306"/>
    <w:rsid w:val="00181B59"/>
    <w:rsid w:val="00182293"/>
    <w:rsid w:val="00183450"/>
    <w:rsid w:val="00184B62"/>
    <w:rsid w:val="001856ED"/>
    <w:rsid w:val="00185F2B"/>
    <w:rsid w:val="001875EA"/>
    <w:rsid w:val="0019097F"/>
    <w:rsid w:val="00191969"/>
    <w:rsid w:val="00191CAF"/>
    <w:rsid w:val="00191E2E"/>
    <w:rsid w:val="001939A5"/>
    <w:rsid w:val="00194238"/>
    <w:rsid w:val="00195005"/>
    <w:rsid w:val="001952BE"/>
    <w:rsid w:val="00195892"/>
    <w:rsid w:val="001A1102"/>
    <w:rsid w:val="001A232E"/>
    <w:rsid w:val="001A4282"/>
    <w:rsid w:val="001A4662"/>
    <w:rsid w:val="001A5BA1"/>
    <w:rsid w:val="001A60A3"/>
    <w:rsid w:val="001B3D2C"/>
    <w:rsid w:val="001B47D3"/>
    <w:rsid w:val="001B4CA6"/>
    <w:rsid w:val="001B598F"/>
    <w:rsid w:val="001B5F17"/>
    <w:rsid w:val="001B6D15"/>
    <w:rsid w:val="001B7921"/>
    <w:rsid w:val="001C1A7E"/>
    <w:rsid w:val="001C209B"/>
    <w:rsid w:val="001C2401"/>
    <w:rsid w:val="001C433A"/>
    <w:rsid w:val="001C4461"/>
    <w:rsid w:val="001C57E8"/>
    <w:rsid w:val="001C60B7"/>
    <w:rsid w:val="001C6285"/>
    <w:rsid w:val="001C69EE"/>
    <w:rsid w:val="001C7363"/>
    <w:rsid w:val="001D307E"/>
    <w:rsid w:val="001D30D1"/>
    <w:rsid w:val="001D404B"/>
    <w:rsid w:val="001D52C8"/>
    <w:rsid w:val="001D5318"/>
    <w:rsid w:val="001E0547"/>
    <w:rsid w:val="001E1FC4"/>
    <w:rsid w:val="001E33B0"/>
    <w:rsid w:val="001E40B0"/>
    <w:rsid w:val="001E42CE"/>
    <w:rsid w:val="001E4A23"/>
    <w:rsid w:val="001E4C76"/>
    <w:rsid w:val="001E4FE5"/>
    <w:rsid w:val="001E565B"/>
    <w:rsid w:val="001E5A31"/>
    <w:rsid w:val="001E62D2"/>
    <w:rsid w:val="001E64B8"/>
    <w:rsid w:val="001F2EE4"/>
    <w:rsid w:val="001F3BEC"/>
    <w:rsid w:val="001F55A2"/>
    <w:rsid w:val="001F5AC8"/>
    <w:rsid w:val="001F6F55"/>
    <w:rsid w:val="001F7E79"/>
    <w:rsid w:val="00200195"/>
    <w:rsid w:val="00203563"/>
    <w:rsid w:val="00203D4C"/>
    <w:rsid w:val="0020412E"/>
    <w:rsid w:val="002046F7"/>
    <w:rsid w:val="002059DC"/>
    <w:rsid w:val="00205C0A"/>
    <w:rsid w:val="00207243"/>
    <w:rsid w:val="00207E7C"/>
    <w:rsid w:val="00210809"/>
    <w:rsid w:val="0021110B"/>
    <w:rsid w:val="00211572"/>
    <w:rsid w:val="00211982"/>
    <w:rsid w:val="002139AF"/>
    <w:rsid w:val="0021402D"/>
    <w:rsid w:val="00214539"/>
    <w:rsid w:val="0021620F"/>
    <w:rsid w:val="00220824"/>
    <w:rsid w:val="002208AC"/>
    <w:rsid w:val="00221397"/>
    <w:rsid w:val="0022227E"/>
    <w:rsid w:val="00222669"/>
    <w:rsid w:val="00222980"/>
    <w:rsid w:val="00222C11"/>
    <w:rsid w:val="00223393"/>
    <w:rsid w:val="002256EE"/>
    <w:rsid w:val="002257C0"/>
    <w:rsid w:val="0022604D"/>
    <w:rsid w:val="00227232"/>
    <w:rsid w:val="0023152A"/>
    <w:rsid w:val="002325D7"/>
    <w:rsid w:val="002333C7"/>
    <w:rsid w:val="00233C81"/>
    <w:rsid w:val="002343B5"/>
    <w:rsid w:val="002348AF"/>
    <w:rsid w:val="002356E4"/>
    <w:rsid w:val="002371F8"/>
    <w:rsid w:val="002408E1"/>
    <w:rsid w:val="00241B04"/>
    <w:rsid w:val="0024356E"/>
    <w:rsid w:val="002438E2"/>
    <w:rsid w:val="00243DBC"/>
    <w:rsid w:val="0025033C"/>
    <w:rsid w:val="00251490"/>
    <w:rsid w:val="00257F92"/>
    <w:rsid w:val="00261D06"/>
    <w:rsid w:val="00262B5D"/>
    <w:rsid w:val="002633E0"/>
    <w:rsid w:val="00263434"/>
    <w:rsid w:val="0026456B"/>
    <w:rsid w:val="00264B1A"/>
    <w:rsid w:val="00266130"/>
    <w:rsid w:val="002665CA"/>
    <w:rsid w:val="00266B6E"/>
    <w:rsid w:val="002707C4"/>
    <w:rsid w:val="0027176D"/>
    <w:rsid w:val="0027227B"/>
    <w:rsid w:val="00272A4A"/>
    <w:rsid w:val="0027515C"/>
    <w:rsid w:val="00275688"/>
    <w:rsid w:val="00275FD8"/>
    <w:rsid w:val="0027787F"/>
    <w:rsid w:val="002804DF"/>
    <w:rsid w:val="00281807"/>
    <w:rsid w:val="00286AF6"/>
    <w:rsid w:val="00286BF2"/>
    <w:rsid w:val="00286E6D"/>
    <w:rsid w:val="00287A5D"/>
    <w:rsid w:val="00290056"/>
    <w:rsid w:val="0029007C"/>
    <w:rsid w:val="002905FC"/>
    <w:rsid w:val="002909D9"/>
    <w:rsid w:val="002915E4"/>
    <w:rsid w:val="00293FE4"/>
    <w:rsid w:val="00295C29"/>
    <w:rsid w:val="002975D1"/>
    <w:rsid w:val="0029794F"/>
    <w:rsid w:val="002A0383"/>
    <w:rsid w:val="002A0874"/>
    <w:rsid w:val="002A11B5"/>
    <w:rsid w:val="002A1574"/>
    <w:rsid w:val="002A1882"/>
    <w:rsid w:val="002A1A2B"/>
    <w:rsid w:val="002A2049"/>
    <w:rsid w:val="002A4F84"/>
    <w:rsid w:val="002A713C"/>
    <w:rsid w:val="002B03A3"/>
    <w:rsid w:val="002B1873"/>
    <w:rsid w:val="002B1B70"/>
    <w:rsid w:val="002B4C40"/>
    <w:rsid w:val="002B4FFB"/>
    <w:rsid w:val="002B5FC3"/>
    <w:rsid w:val="002B6479"/>
    <w:rsid w:val="002B6D2F"/>
    <w:rsid w:val="002B7596"/>
    <w:rsid w:val="002C427E"/>
    <w:rsid w:val="002C66A6"/>
    <w:rsid w:val="002C6D4E"/>
    <w:rsid w:val="002C7DF8"/>
    <w:rsid w:val="002D4FD2"/>
    <w:rsid w:val="002E00B2"/>
    <w:rsid w:val="002E09BE"/>
    <w:rsid w:val="002E0E11"/>
    <w:rsid w:val="002E4131"/>
    <w:rsid w:val="002E415A"/>
    <w:rsid w:val="002E6686"/>
    <w:rsid w:val="002E6900"/>
    <w:rsid w:val="002F0A7A"/>
    <w:rsid w:val="002F0B9B"/>
    <w:rsid w:val="002F0BD6"/>
    <w:rsid w:val="002F2BD8"/>
    <w:rsid w:val="002F3BC9"/>
    <w:rsid w:val="002F5756"/>
    <w:rsid w:val="002F5E81"/>
    <w:rsid w:val="002F5F04"/>
    <w:rsid w:val="002F62B3"/>
    <w:rsid w:val="002F64D2"/>
    <w:rsid w:val="002F6BF5"/>
    <w:rsid w:val="00302383"/>
    <w:rsid w:val="00303683"/>
    <w:rsid w:val="00303E9D"/>
    <w:rsid w:val="00303F08"/>
    <w:rsid w:val="003046B0"/>
    <w:rsid w:val="00306457"/>
    <w:rsid w:val="003066D6"/>
    <w:rsid w:val="0030725F"/>
    <w:rsid w:val="0031019E"/>
    <w:rsid w:val="003106A9"/>
    <w:rsid w:val="003108C2"/>
    <w:rsid w:val="00311C4A"/>
    <w:rsid w:val="00312D52"/>
    <w:rsid w:val="00313214"/>
    <w:rsid w:val="003132A5"/>
    <w:rsid w:val="00313DDD"/>
    <w:rsid w:val="00314395"/>
    <w:rsid w:val="00316AF6"/>
    <w:rsid w:val="00317CD9"/>
    <w:rsid w:val="00317E26"/>
    <w:rsid w:val="00322AB8"/>
    <w:rsid w:val="00322DFC"/>
    <w:rsid w:val="0032374C"/>
    <w:rsid w:val="00323E64"/>
    <w:rsid w:val="0032440C"/>
    <w:rsid w:val="00326ABE"/>
    <w:rsid w:val="003272DC"/>
    <w:rsid w:val="003308BE"/>
    <w:rsid w:val="0033099A"/>
    <w:rsid w:val="00330EB7"/>
    <w:rsid w:val="00330FBC"/>
    <w:rsid w:val="0033106F"/>
    <w:rsid w:val="0033108E"/>
    <w:rsid w:val="00333575"/>
    <w:rsid w:val="003336F5"/>
    <w:rsid w:val="00333E1D"/>
    <w:rsid w:val="00334906"/>
    <w:rsid w:val="0033599E"/>
    <w:rsid w:val="003364F2"/>
    <w:rsid w:val="00342E13"/>
    <w:rsid w:val="00343D1B"/>
    <w:rsid w:val="003441E7"/>
    <w:rsid w:val="0034472B"/>
    <w:rsid w:val="00345330"/>
    <w:rsid w:val="00347D90"/>
    <w:rsid w:val="003504A7"/>
    <w:rsid w:val="00350B38"/>
    <w:rsid w:val="003513FA"/>
    <w:rsid w:val="0035166E"/>
    <w:rsid w:val="0035170B"/>
    <w:rsid w:val="00353457"/>
    <w:rsid w:val="00355476"/>
    <w:rsid w:val="00357255"/>
    <w:rsid w:val="0035752C"/>
    <w:rsid w:val="00357AE9"/>
    <w:rsid w:val="00357C9D"/>
    <w:rsid w:val="00357E39"/>
    <w:rsid w:val="00361431"/>
    <w:rsid w:val="003614B2"/>
    <w:rsid w:val="003617A0"/>
    <w:rsid w:val="003623D7"/>
    <w:rsid w:val="00362DC2"/>
    <w:rsid w:val="003634EA"/>
    <w:rsid w:val="00365758"/>
    <w:rsid w:val="00365B6C"/>
    <w:rsid w:val="00367A5E"/>
    <w:rsid w:val="0037003A"/>
    <w:rsid w:val="00370F91"/>
    <w:rsid w:val="0037276D"/>
    <w:rsid w:val="0037322B"/>
    <w:rsid w:val="003735BA"/>
    <w:rsid w:val="00374164"/>
    <w:rsid w:val="00375438"/>
    <w:rsid w:val="003765E2"/>
    <w:rsid w:val="00376662"/>
    <w:rsid w:val="00380EBB"/>
    <w:rsid w:val="00381021"/>
    <w:rsid w:val="00381054"/>
    <w:rsid w:val="00382C58"/>
    <w:rsid w:val="00384E19"/>
    <w:rsid w:val="003855D3"/>
    <w:rsid w:val="00386277"/>
    <w:rsid w:val="00387220"/>
    <w:rsid w:val="003914AE"/>
    <w:rsid w:val="0039349B"/>
    <w:rsid w:val="00394AAF"/>
    <w:rsid w:val="00394D4C"/>
    <w:rsid w:val="00394FA9"/>
    <w:rsid w:val="00396B28"/>
    <w:rsid w:val="00397A8D"/>
    <w:rsid w:val="003A0160"/>
    <w:rsid w:val="003A034A"/>
    <w:rsid w:val="003A2EF5"/>
    <w:rsid w:val="003A3BB9"/>
    <w:rsid w:val="003A3C25"/>
    <w:rsid w:val="003A5262"/>
    <w:rsid w:val="003A5D04"/>
    <w:rsid w:val="003A6B71"/>
    <w:rsid w:val="003B01AD"/>
    <w:rsid w:val="003B1109"/>
    <w:rsid w:val="003B1445"/>
    <w:rsid w:val="003B14E2"/>
    <w:rsid w:val="003B74E8"/>
    <w:rsid w:val="003B7721"/>
    <w:rsid w:val="003C1F8F"/>
    <w:rsid w:val="003C478B"/>
    <w:rsid w:val="003C48BF"/>
    <w:rsid w:val="003C7BF7"/>
    <w:rsid w:val="003D26EA"/>
    <w:rsid w:val="003D273F"/>
    <w:rsid w:val="003D409A"/>
    <w:rsid w:val="003D4BA8"/>
    <w:rsid w:val="003D75CC"/>
    <w:rsid w:val="003D760E"/>
    <w:rsid w:val="003D769F"/>
    <w:rsid w:val="003D79E9"/>
    <w:rsid w:val="003D79F8"/>
    <w:rsid w:val="003E02C3"/>
    <w:rsid w:val="003E0572"/>
    <w:rsid w:val="003E35D3"/>
    <w:rsid w:val="003E35D5"/>
    <w:rsid w:val="003E400F"/>
    <w:rsid w:val="003E5123"/>
    <w:rsid w:val="003E53DA"/>
    <w:rsid w:val="003E5BA3"/>
    <w:rsid w:val="003E7732"/>
    <w:rsid w:val="003E7C28"/>
    <w:rsid w:val="003F3D18"/>
    <w:rsid w:val="003F43CB"/>
    <w:rsid w:val="003F4914"/>
    <w:rsid w:val="003F580A"/>
    <w:rsid w:val="003F5BCC"/>
    <w:rsid w:val="003F7F07"/>
    <w:rsid w:val="004017F4"/>
    <w:rsid w:val="00401FDE"/>
    <w:rsid w:val="00403945"/>
    <w:rsid w:val="00405927"/>
    <w:rsid w:val="00405BEB"/>
    <w:rsid w:val="00405FA2"/>
    <w:rsid w:val="004076A3"/>
    <w:rsid w:val="00407D8D"/>
    <w:rsid w:val="004108A5"/>
    <w:rsid w:val="00410AA0"/>
    <w:rsid w:val="00412211"/>
    <w:rsid w:val="00412433"/>
    <w:rsid w:val="004125CA"/>
    <w:rsid w:val="0041409B"/>
    <w:rsid w:val="00414675"/>
    <w:rsid w:val="0041503E"/>
    <w:rsid w:val="00416BE9"/>
    <w:rsid w:val="00421DF8"/>
    <w:rsid w:val="004220FB"/>
    <w:rsid w:val="0042237E"/>
    <w:rsid w:val="0042355A"/>
    <w:rsid w:val="004267B6"/>
    <w:rsid w:val="0042780B"/>
    <w:rsid w:val="00430EF5"/>
    <w:rsid w:val="00431006"/>
    <w:rsid w:val="00434110"/>
    <w:rsid w:val="00434316"/>
    <w:rsid w:val="00436E15"/>
    <w:rsid w:val="00437AA1"/>
    <w:rsid w:val="00440697"/>
    <w:rsid w:val="00440888"/>
    <w:rsid w:val="00441845"/>
    <w:rsid w:val="00441A88"/>
    <w:rsid w:val="004422C5"/>
    <w:rsid w:val="004431F7"/>
    <w:rsid w:val="00445778"/>
    <w:rsid w:val="00445907"/>
    <w:rsid w:val="00447EB0"/>
    <w:rsid w:val="00450226"/>
    <w:rsid w:val="00452848"/>
    <w:rsid w:val="00452E16"/>
    <w:rsid w:val="00454056"/>
    <w:rsid w:val="00454780"/>
    <w:rsid w:val="00454EE2"/>
    <w:rsid w:val="00454F20"/>
    <w:rsid w:val="00456245"/>
    <w:rsid w:val="00456B46"/>
    <w:rsid w:val="0046027D"/>
    <w:rsid w:val="00460414"/>
    <w:rsid w:val="00461EF6"/>
    <w:rsid w:val="00461FE2"/>
    <w:rsid w:val="00462786"/>
    <w:rsid w:val="004630E5"/>
    <w:rsid w:val="00463308"/>
    <w:rsid w:val="004640C5"/>
    <w:rsid w:val="00465137"/>
    <w:rsid w:val="00466E19"/>
    <w:rsid w:val="004702EC"/>
    <w:rsid w:val="004711FC"/>
    <w:rsid w:val="004715DF"/>
    <w:rsid w:val="00472EEC"/>
    <w:rsid w:val="004730C6"/>
    <w:rsid w:val="004746A1"/>
    <w:rsid w:val="00474F25"/>
    <w:rsid w:val="00474FFC"/>
    <w:rsid w:val="0047551F"/>
    <w:rsid w:val="0047662B"/>
    <w:rsid w:val="00476800"/>
    <w:rsid w:val="0047771D"/>
    <w:rsid w:val="004806D5"/>
    <w:rsid w:val="00483528"/>
    <w:rsid w:val="0048358A"/>
    <w:rsid w:val="004835EA"/>
    <w:rsid w:val="004837F8"/>
    <w:rsid w:val="00484246"/>
    <w:rsid w:val="00484F42"/>
    <w:rsid w:val="00484F4D"/>
    <w:rsid w:val="004855C1"/>
    <w:rsid w:val="00487369"/>
    <w:rsid w:val="00487D52"/>
    <w:rsid w:val="0049062D"/>
    <w:rsid w:val="00492318"/>
    <w:rsid w:val="00493185"/>
    <w:rsid w:val="00493793"/>
    <w:rsid w:val="00493B3D"/>
    <w:rsid w:val="004943FE"/>
    <w:rsid w:val="0049492E"/>
    <w:rsid w:val="00494FD4"/>
    <w:rsid w:val="00495A23"/>
    <w:rsid w:val="004969D6"/>
    <w:rsid w:val="004A0191"/>
    <w:rsid w:val="004A04D0"/>
    <w:rsid w:val="004A089F"/>
    <w:rsid w:val="004A15F7"/>
    <w:rsid w:val="004A24AE"/>
    <w:rsid w:val="004A36D8"/>
    <w:rsid w:val="004A3CA3"/>
    <w:rsid w:val="004A3F7C"/>
    <w:rsid w:val="004A524B"/>
    <w:rsid w:val="004A6418"/>
    <w:rsid w:val="004A66A5"/>
    <w:rsid w:val="004A775D"/>
    <w:rsid w:val="004B16C6"/>
    <w:rsid w:val="004B1B0C"/>
    <w:rsid w:val="004B1B9A"/>
    <w:rsid w:val="004B2065"/>
    <w:rsid w:val="004B2098"/>
    <w:rsid w:val="004B29CF"/>
    <w:rsid w:val="004B4F39"/>
    <w:rsid w:val="004B5323"/>
    <w:rsid w:val="004B70E6"/>
    <w:rsid w:val="004C16E4"/>
    <w:rsid w:val="004C1900"/>
    <w:rsid w:val="004C2E69"/>
    <w:rsid w:val="004C36ED"/>
    <w:rsid w:val="004C46A7"/>
    <w:rsid w:val="004C5253"/>
    <w:rsid w:val="004C69BE"/>
    <w:rsid w:val="004C71A9"/>
    <w:rsid w:val="004C7201"/>
    <w:rsid w:val="004D0841"/>
    <w:rsid w:val="004D102C"/>
    <w:rsid w:val="004D17D8"/>
    <w:rsid w:val="004D5F97"/>
    <w:rsid w:val="004D605D"/>
    <w:rsid w:val="004D6135"/>
    <w:rsid w:val="004D63C9"/>
    <w:rsid w:val="004D718D"/>
    <w:rsid w:val="004D76AA"/>
    <w:rsid w:val="004D78F9"/>
    <w:rsid w:val="004D7A0C"/>
    <w:rsid w:val="004D7E6F"/>
    <w:rsid w:val="004E0E8B"/>
    <w:rsid w:val="004E0F1A"/>
    <w:rsid w:val="004E1BF6"/>
    <w:rsid w:val="004E3FCB"/>
    <w:rsid w:val="004E4401"/>
    <w:rsid w:val="004E51BA"/>
    <w:rsid w:val="004E54A1"/>
    <w:rsid w:val="004E57D6"/>
    <w:rsid w:val="004E737B"/>
    <w:rsid w:val="004E7DCF"/>
    <w:rsid w:val="004F0E4B"/>
    <w:rsid w:val="004F223E"/>
    <w:rsid w:val="004F36F6"/>
    <w:rsid w:val="004F48E0"/>
    <w:rsid w:val="004F52A2"/>
    <w:rsid w:val="004F740C"/>
    <w:rsid w:val="004F75B3"/>
    <w:rsid w:val="004F7D32"/>
    <w:rsid w:val="004F7FDC"/>
    <w:rsid w:val="00500A93"/>
    <w:rsid w:val="00500CB2"/>
    <w:rsid w:val="00500FDD"/>
    <w:rsid w:val="0050130D"/>
    <w:rsid w:val="0050340E"/>
    <w:rsid w:val="005041B9"/>
    <w:rsid w:val="005062DD"/>
    <w:rsid w:val="0050692B"/>
    <w:rsid w:val="00506F5A"/>
    <w:rsid w:val="00510A7B"/>
    <w:rsid w:val="00511A23"/>
    <w:rsid w:val="00512908"/>
    <w:rsid w:val="00513C95"/>
    <w:rsid w:val="00514D02"/>
    <w:rsid w:val="00517102"/>
    <w:rsid w:val="005176A8"/>
    <w:rsid w:val="00517BA4"/>
    <w:rsid w:val="00517BED"/>
    <w:rsid w:val="005203B3"/>
    <w:rsid w:val="00522C1E"/>
    <w:rsid w:val="00524943"/>
    <w:rsid w:val="0052589B"/>
    <w:rsid w:val="00526350"/>
    <w:rsid w:val="005266AC"/>
    <w:rsid w:val="00527670"/>
    <w:rsid w:val="00527867"/>
    <w:rsid w:val="00527AC5"/>
    <w:rsid w:val="005314F5"/>
    <w:rsid w:val="0053294D"/>
    <w:rsid w:val="00532D89"/>
    <w:rsid w:val="00532EF2"/>
    <w:rsid w:val="00533A5A"/>
    <w:rsid w:val="00535CD3"/>
    <w:rsid w:val="0053606D"/>
    <w:rsid w:val="0053682A"/>
    <w:rsid w:val="00537A61"/>
    <w:rsid w:val="00540BD1"/>
    <w:rsid w:val="00544E53"/>
    <w:rsid w:val="00546BC0"/>
    <w:rsid w:val="00547A12"/>
    <w:rsid w:val="0055114E"/>
    <w:rsid w:val="005540A1"/>
    <w:rsid w:val="00554863"/>
    <w:rsid w:val="00554FA2"/>
    <w:rsid w:val="00555F2F"/>
    <w:rsid w:val="00556520"/>
    <w:rsid w:val="00556BDB"/>
    <w:rsid w:val="00557155"/>
    <w:rsid w:val="005576E0"/>
    <w:rsid w:val="005604DE"/>
    <w:rsid w:val="0056069D"/>
    <w:rsid w:val="00562022"/>
    <w:rsid w:val="0056369C"/>
    <w:rsid w:val="00564CBA"/>
    <w:rsid w:val="00565065"/>
    <w:rsid w:val="00565EF5"/>
    <w:rsid w:val="00566FB9"/>
    <w:rsid w:val="00570837"/>
    <w:rsid w:val="00571221"/>
    <w:rsid w:val="00571B31"/>
    <w:rsid w:val="0057225F"/>
    <w:rsid w:val="00572838"/>
    <w:rsid w:val="00572B8F"/>
    <w:rsid w:val="00574779"/>
    <w:rsid w:val="00575224"/>
    <w:rsid w:val="005779FF"/>
    <w:rsid w:val="0058130E"/>
    <w:rsid w:val="005815FD"/>
    <w:rsid w:val="005816D9"/>
    <w:rsid w:val="00581C47"/>
    <w:rsid w:val="00581D4F"/>
    <w:rsid w:val="00584C80"/>
    <w:rsid w:val="005850D3"/>
    <w:rsid w:val="0058633D"/>
    <w:rsid w:val="00587069"/>
    <w:rsid w:val="00591780"/>
    <w:rsid w:val="00592EF8"/>
    <w:rsid w:val="00593F10"/>
    <w:rsid w:val="005955C3"/>
    <w:rsid w:val="0059619D"/>
    <w:rsid w:val="0059691C"/>
    <w:rsid w:val="00596FB1"/>
    <w:rsid w:val="0059724D"/>
    <w:rsid w:val="005A089A"/>
    <w:rsid w:val="005A22D4"/>
    <w:rsid w:val="005A2AF1"/>
    <w:rsid w:val="005A32B8"/>
    <w:rsid w:val="005A3496"/>
    <w:rsid w:val="005A364D"/>
    <w:rsid w:val="005A41C8"/>
    <w:rsid w:val="005A43F8"/>
    <w:rsid w:val="005A5772"/>
    <w:rsid w:val="005A5A0F"/>
    <w:rsid w:val="005A5D85"/>
    <w:rsid w:val="005A7130"/>
    <w:rsid w:val="005A7C76"/>
    <w:rsid w:val="005B0387"/>
    <w:rsid w:val="005B0ECA"/>
    <w:rsid w:val="005B185A"/>
    <w:rsid w:val="005B1F29"/>
    <w:rsid w:val="005B30F6"/>
    <w:rsid w:val="005B31D3"/>
    <w:rsid w:val="005B3AFA"/>
    <w:rsid w:val="005B533E"/>
    <w:rsid w:val="005B57D5"/>
    <w:rsid w:val="005B76A6"/>
    <w:rsid w:val="005C0D73"/>
    <w:rsid w:val="005C15F5"/>
    <w:rsid w:val="005C26B0"/>
    <w:rsid w:val="005C3ECE"/>
    <w:rsid w:val="005C541C"/>
    <w:rsid w:val="005C5C40"/>
    <w:rsid w:val="005C5F05"/>
    <w:rsid w:val="005C5F77"/>
    <w:rsid w:val="005C7AD1"/>
    <w:rsid w:val="005D0216"/>
    <w:rsid w:val="005D0BDC"/>
    <w:rsid w:val="005D146D"/>
    <w:rsid w:val="005D17F6"/>
    <w:rsid w:val="005D5DE9"/>
    <w:rsid w:val="005D6104"/>
    <w:rsid w:val="005D70C2"/>
    <w:rsid w:val="005D7ABA"/>
    <w:rsid w:val="005E02DB"/>
    <w:rsid w:val="005E042D"/>
    <w:rsid w:val="005E07F7"/>
    <w:rsid w:val="005E0DF5"/>
    <w:rsid w:val="005E1787"/>
    <w:rsid w:val="005E18BD"/>
    <w:rsid w:val="005E228B"/>
    <w:rsid w:val="005E23BD"/>
    <w:rsid w:val="005E4009"/>
    <w:rsid w:val="005E6041"/>
    <w:rsid w:val="005F039E"/>
    <w:rsid w:val="005F03F0"/>
    <w:rsid w:val="005F1200"/>
    <w:rsid w:val="005F34F9"/>
    <w:rsid w:val="005F4123"/>
    <w:rsid w:val="005F4F9E"/>
    <w:rsid w:val="005F532C"/>
    <w:rsid w:val="005F5D4D"/>
    <w:rsid w:val="005F76D2"/>
    <w:rsid w:val="005F7EDF"/>
    <w:rsid w:val="006004C2"/>
    <w:rsid w:val="00600652"/>
    <w:rsid w:val="00600C7D"/>
    <w:rsid w:val="006012D8"/>
    <w:rsid w:val="00601EB5"/>
    <w:rsid w:val="006021FB"/>
    <w:rsid w:val="006038B8"/>
    <w:rsid w:val="00603CB7"/>
    <w:rsid w:val="00603DC3"/>
    <w:rsid w:val="006045E3"/>
    <w:rsid w:val="00605C95"/>
    <w:rsid w:val="00607C53"/>
    <w:rsid w:val="006100CE"/>
    <w:rsid w:val="0061136B"/>
    <w:rsid w:val="0061164B"/>
    <w:rsid w:val="00611708"/>
    <w:rsid w:val="00612890"/>
    <w:rsid w:val="00612FA9"/>
    <w:rsid w:val="00613AB4"/>
    <w:rsid w:val="006140CD"/>
    <w:rsid w:val="00620DA5"/>
    <w:rsid w:val="00623778"/>
    <w:rsid w:val="006265C2"/>
    <w:rsid w:val="00630DE5"/>
    <w:rsid w:val="0063347E"/>
    <w:rsid w:val="006354CD"/>
    <w:rsid w:val="00636C18"/>
    <w:rsid w:val="00637169"/>
    <w:rsid w:val="00637189"/>
    <w:rsid w:val="0064027D"/>
    <w:rsid w:val="00643221"/>
    <w:rsid w:val="0064454E"/>
    <w:rsid w:val="006461E7"/>
    <w:rsid w:val="006465EB"/>
    <w:rsid w:val="006508A8"/>
    <w:rsid w:val="00650D06"/>
    <w:rsid w:val="006540C0"/>
    <w:rsid w:val="00655F29"/>
    <w:rsid w:val="00656173"/>
    <w:rsid w:val="00656CAF"/>
    <w:rsid w:val="00657CE8"/>
    <w:rsid w:val="0066071A"/>
    <w:rsid w:val="00661F4D"/>
    <w:rsid w:val="00662F25"/>
    <w:rsid w:val="00663031"/>
    <w:rsid w:val="006630E5"/>
    <w:rsid w:val="00663151"/>
    <w:rsid w:val="00663F55"/>
    <w:rsid w:val="0066477A"/>
    <w:rsid w:val="00666ACB"/>
    <w:rsid w:val="0067156F"/>
    <w:rsid w:val="0067425A"/>
    <w:rsid w:val="006761E7"/>
    <w:rsid w:val="00676577"/>
    <w:rsid w:val="006803D3"/>
    <w:rsid w:val="00680B54"/>
    <w:rsid w:val="00681013"/>
    <w:rsid w:val="006810B5"/>
    <w:rsid w:val="00681788"/>
    <w:rsid w:val="00682835"/>
    <w:rsid w:val="00683B45"/>
    <w:rsid w:val="00683E7F"/>
    <w:rsid w:val="0068475C"/>
    <w:rsid w:val="00684AC0"/>
    <w:rsid w:val="00684E59"/>
    <w:rsid w:val="00685E6D"/>
    <w:rsid w:val="00685ECF"/>
    <w:rsid w:val="00687091"/>
    <w:rsid w:val="00690AB0"/>
    <w:rsid w:val="00693A32"/>
    <w:rsid w:val="00693B86"/>
    <w:rsid w:val="00693ECA"/>
    <w:rsid w:val="006950F9"/>
    <w:rsid w:val="006954FB"/>
    <w:rsid w:val="00696BCB"/>
    <w:rsid w:val="00697605"/>
    <w:rsid w:val="00697D6F"/>
    <w:rsid w:val="006A0229"/>
    <w:rsid w:val="006A236F"/>
    <w:rsid w:val="006A2F2E"/>
    <w:rsid w:val="006A355F"/>
    <w:rsid w:val="006A59E9"/>
    <w:rsid w:val="006A6368"/>
    <w:rsid w:val="006B0453"/>
    <w:rsid w:val="006B14D0"/>
    <w:rsid w:val="006B5951"/>
    <w:rsid w:val="006B5C6B"/>
    <w:rsid w:val="006B5F62"/>
    <w:rsid w:val="006B649F"/>
    <w:rsid w:val="006B6808"/>
    <w:rsid w:val="006B6F05"/>
    <w:rsid w:val="006C04AF"/>
    <w:rsid w:val="006C2D29"/>
    <w:rsid w:val="006C3A17"/>
    <w:rsid w:val="006C492A"/>
    <w:rsid w:val="006C5D9F"/>
    <w:rsid w:val="006C6981"/>
    <w:rsid w:val="006C777C"/>
    <w:rsid w:val="006D038B"/>
    <w:rsid w:val="006D152B"/>
    <w:rsid w:val="006D15A1"/>
    <w:rsid w:val="006D1780"/>
    <w:rsid w:val="006D2C8E"/>
    <w:rsid w:val="006D414F"/>
    <w:rsid w:val="006D45AA"/>
    <w:rsid w:val="006D6F4A"/>
    <w:rsid w:val="006D7C15"/>
    <w:rsid w:val="006E1A2F"/>
    <w:rsid w:val="006E46DC"/>
    <w:rsid w:val="006E52EF"/>
    <w:rsid w:val="006E6AFF"/>
    <w:rsid w:val="006E7C64"/>
    <w:rsid w:val="006F384A"/>
    <w:rsid w:val="006F3F81"/>
    <w:rsid w:val="006F40D4"/>
    <w:rsid w:val="006F6250"/>
    <w:rsid w:val="0070051C"/>
    <w:rsid w:val="00700A11"/>
    <w:rsid w:val="007011BD"/>
    <w:rsid w:val="00704644"/>
    <w:rsid w:val="00707107"/>
    <w:rsid w:val="00712679"/>
    <w:rsid w:val="00712C04"/>
    <w:rsid w:val="00713B2A"/>
    <w:rsid w:val="00713B55"/>
    <w:rsid w:val="007143C9"/>
    <w:rsid w:val="00717896"/>
    <w:rsid w:val="00721A77"/>
    <w:rsid w:val="00721C7E"/>
    <w:rsid w:val="007239A7"/>
    <w:rsid w:val="007267A9"/>
    <w:rsid w:val="0072691B"/>
    <w:rsid w:val="00727F27"/>
    <w:rsid w:val="0073071B"/>
    <w:rsid w:val="0073088F"/>
    <w:rsid w:val="0073176A"/>
    <w:rsid w:val="00732BB2"/>
    <w:rsid w:val="007339FC"/>
    <w:rsid w:val="0073483A"/>
    <w:rsid w:val="007359F3"/>
    <w:rsid w:val="00735BC7"/>
    <w:rsid w:val="00735DA9"/>
    <w:rsid w:val="00736083"/>
    <w:rsid w:val="00737413"/>
    <w:rsid w:val="0074168A"/>
    <w:rsid w:val="00741FFD"/>
    <w:rsid w:val="007420A0"/>
    <w:rsid w:val="00742374"/>
    <w:rsid w:val="00742A56"/>
    <w:rsid w:val="007439CC"/>
    <w:rsid w:val="00743D31"/>
    <w:rsid w:val="00744F05"/>
    <w:rsid w:val="00745AAB"/>
    <w:rsid w:val="00746C43"/>
    <w:rsid w:val="0074737F"/>
    <w:rsid w:val="007474BF"/>
    <w:rsid w:val="00747B22"/>
    <w:rsid w:val="0075081B"/>
    <w:rsid w:val="00751C2F"/>
    <w:rsid w:val="0075257D"/>
    <w:rsid w:val="007530C6"/>
    <w:rsid w:val="007536CD"/>
    <w:rsid w:val="00753C3D"/>
    <w:rsid w:val="007557A2"/>
    <w:rsid w:val="00755B01"/>
    <w:rsid w:val="00755D05"/>
    <w:rsid w:val="007561B4"/>
    <w:rsid w:val="0076208F"/>
    <w:rsid w:val="00764AEC"/>
    <w:rsid w:val="0076704E"/>
    <w:rsid w:val="007675A2"/>
    <w:rsid w:val="0077062B"/>
    <w:rsid w:val="0077084E"/>
    <w:rsid w:val="0077096F"/>
    <w:rsid w:val="007715EE"/>
    <w:rsid w:val="00772736"/>
    <w:rsid w:val="00772BD1"/>
    <w:rsid w:val="00772EF6"/>
    <w:rsid w:val="00773FC8"/>
    <w:rsid w:val="00774767"/>
    <w:rsid w:val="007755ED"/>
    <w:rsid w:val="00776DF8"/>
    <w:rsid w:val="007777A2"/>
    <w:rsid w:val="00777CC8"/>
    <w:rsid w:val="00777F1A"/>
    <w:rsid w:val="00782900"/>
    <w:rsid w:val="0078412A"/>
    <w:rsid w:val="00784319"/>
    <w:rsid w:val="00784DD9"/>
    <w:rsid w:val="007853CC"/>
    <w:rsid w:val="00787D79"/>
    <w:rsid w:val="00787DE4"/>
    <w:rsid w:val="00790E97"/>
    <w:rsid w:val="007929E5"/>
    <w:rsid w:val="00792BB0"/>
    <w:rsid w:val="00793F5E"/>
    <w:rsid w:val="00793FD5"/>
    <w:rsid w:val="00794779"/>
    <w:rsid w:val="00794B81"/>
    <w:rsid w:val="00795A3D"/>
    <w:rsid w:val="00797509"/>
    <w:rsid w:val="007977E0"/>
    <w:rsid w:val="00797C41"/>
    <w:rsid w:val="00797D75"/>
    <w:rsid w:val="007A1455"/>
    <w:rsid w:val="007A163C"/>
    <w:rsid w:val="007A1901"/>
    <w:rsid w:val="007A1C56"/>
    <w:rsid w:val="007A26C9"/>
    <w:rsid w:val="007A324A"/>
    <w:rsid w:val="007A40DA"/>
    <w:rsid w:val="007A4C7E"/>
    <w:rsid w:val="007A5639"/>
    <w:rsid w:val="007A63E9"/>
    <w:rsid w:val="007A6BF8"/>
    <w:rsid w:val="007A7DD5"/>
    <w:rsid w:val="007B078F"/>
    <w:rsid w:val="007B1C9C"/>
    <w:rsid w:val="007B3C4B"/>
    <w:rsid w:val="007B4B6B"/>
    <w:rsid w:val="007B51DD"/>
    <w:rsid w:val="007B7DAD"/>
    <w:rsid w:val="007B7F0B"/>
    <w:rsid w:val="007C142A"/>
    <w:rsid w:val="007C26EB"/>
    <w:rsid w:val="007C3DBB"/>
    <w:rsid w:val="007C4C8A"/>
    <w:rsid w:val="007C5192"/>
    <w:rsid w:val="007C5CB5"/>
    <w:rsid w:val="007C73FB"/>
    <w:rsid w:val="007C7BA4"/>
    <w:rsid w:val="007C7CBC"/>
    <w:rsid w:val="007D041A"/>
    <w:rsid w:val="007D071B"/>
    <w:rsid w:val="007D1343"/>
    <w:rsid w:val="007D1766"/>
    <w:rsid w:val="007D17E8"/>
    <w:rsid w:val="007D3970"/>
    <w:rsid w:val="007D506C"/>
    <w:rsid w:val="007E01DF"/>
    <w:rsid w:val="007E0B1D"/>
    <w:rsid w:val="007E1784"/>
    <w:rsid w:val="007E20BA"/>
    <w:rsid w:val="007E2531"/>
    <w:rsid w:val="007E3816"/>
    <w:rsid w:val="007E46E0"/>
    <w:rsid w:val="007E5E20"/>
    <w:rsid w:val="007E5FF1"/>
    <w:rsid w:val="007E60A5"/>
    <w:rsid w:val="007E7C3D"/>
    <w:rsid w:val="007F159E"/>
    <w:rsid w:val="007F19E1"/>
    <w:rsid w:val="007F2F57"/>
    <w:rsid w:val="007F386D"/>
    <w:rsid w:val="007F6965"/>
    <w:rsid w:val="0080101B"/>
    <w:rsid w:val="00804057"/>
    <w:rsid w:val="008040A4"/>
    <w:rsid w:val="0080473B"/>
    <w:rsid w:val="00804BC5"/>
    <w:rsid w:val="00804C84"/>
    <w:rsid w:val="008054E2"/>
    <w:rsid w:val="00805A6E"/>
    <w:rsid w:val="00806A6D"/>
    <w:rsid w:val="00807CE3"/>
    <w:rsid w:val="00810060"/>
    <w:rsid w:val="00813A4E"/>
    <w:rsid w:val="008142DD"/>
    <w:rsid w:val="00816418"/>
    <w:rsid w:val="00816BF3"/>
    <w:rsid w:val="00817744"/>
    <w:rsid w:val="0082097B"/>
    <w:rsid w:val="008210AC"/>
    <w:rsid w:val="00821EC9"/>
    <w:rsid w:val="00821FD1"/>
    <w:rsid w:val="0082212D"/>
    <w:rsid w:val="00822306"/>
    <w:rsid w:val="008228F8"/>
    <w:rsid w:val="00824F74"/>
    <w:rsid w:val="00825898"/>
    <w:rsid w:val="00825A0C"/>
    <w:rsid w:val="0082710C"/>
    <w:rsid w:val="008276BF"/>
    <w:rsid w:val="00827FCF"/>
    <w:rsid w:val="008325CC"/>
    <w:rsid w:val="0083278B"/>
    <w:rsid w:val="008338FE"/>
    <w:rsid w:val="00833F1F"/>
    <w:rsid w:val="008353B6"/>
    <w:rsid w:val="008370E9"/>
    <w:rsid w:val="00840B2F"/>
    <w:rsid w:val="00841347"/>
    <w:rsid w:val="00841C1A"/>
    <w:rsid w:val="00844054"/>
    <w:rsid w:val="008449E4"/>
    <w:rsid w:val="00845B58"/>
    <w:rsid w:val="00846892"/>
    <w:rsid w:val="00847791"/>
    <w:rsid w:val="00850E00"/>
    <w:rsid w:val="008516F2"/>
    <w:rsid w:val="00853F86"/>
    <w:rsid w:val="008557FF"/>
    <w:rsid w:val="00855850"/>
    <w:rsid w:val="00857C08"/>
    <w:rsid w:val="00857D73"/>
    <w:rsid w:val="00860849"/>
    <w:rsid w:val="00860A94"/>
    <w:rsid w:val="00861D51"/>
    <w:rsid w:val="008634BD"/>
    <w:rsid w:val="00864DF3"/>
    <w:rsid w:val="00870A74"/>
    <w:rsid w:val="008710BD"/>
    <w:rsid w:val="00871212"/>
    <w:rsid w:val="00871674"/>
    <w:rsid w:val="00871C15"/>
    <w:rsid w:val="00871F0B"/>
    <w:rsid w:val="00872A9C"/>
    <w:rsid w:val="00873D18"/>
    <w:rsid w:val="00873D3D"/>
    <w:rsid w:val="0087707D"/>
    <w:rsid w:val="008774F7"/>
    <w:rsid w:val="0087772B"/>
    <w:rsid w:val="008803B6"/>
    <w:rsid w:val="00882F96"/>
    <w:rsid w:val="00883366"/>
    <w:rsid w:val="008843D2"/>
    <w:rsid w:val="00885242"/>
    <w:rsid w:val="008855A6"/>
    <w:rsid w:val="00885FA7"/>
    <w:rsid w:val="00886815"/>
    <w:rsid w:val="00886D03"/>
    <w:rsid w:val="0088744B"/>
    <w:rsid w:val="00887919"/>
    <w:rsid w:val="00887E42"/>
    <w:rsid w:val="008917A2"/>
    <w:rsid w:val="00892D9C"/>
    <w:rsid w:val="00893747"/>
    <w:rsid w:val="00894B9D"/>
    <w:rsid w:val="00894E15"/>
    <w:rsid w:val="008958AA"/>
    <w:rsid w:val="008A037B"/>
    <w:rsid w:val="008A08F1"/>
    <w:rsid w:val="008A3651"/>
    <w:rsid w:val="008A45B8"/>
    <w:rsid w:val="008A46CA"/>
    <w:rsid w:val="008A48C9"/>
    <w:rsid w:val="008A4BFD"/>
    <w:rsid w:val="008A66ED"/>
    <w:rsid w:val="008A7625"/>
    <w:rsid w:val="008A7B4E"/>
    <w:rsid w:val="008B017F"/>
    <w:rsid w:val="008B0321"/>
    <w:rsid w:val="008B3090"/>
    <w:rsid w:val="008B4A36"/>
    <w:rsid w:val="008B50AF"/>
    <w:rsid w:val="008B5558"/>
    <w:rsid w:val="008B5959"/>
    <w:rsid w:val="008B604D"/>
    <w:rsid w:val="008B6A30"/>
    <w:rsid w:val="008B7061"/>
    <w:rsid w:val="008B73CE"/>
    <w:rsid w:val="008B7442"/>
    <w:rsid w:val="008C012A"/>
    <w:rsid w:val="008C052F"/>
    <w:rsid w:val="008C0978"/>
    <w:rsid w:val="008C1699"/>
    <w:rsid w:val="008C45C9"/>
    <w:rsid w:val="008C502E"/>
    <w:rsid w:val="008C5CE3"/>
    <w:rsid w:val="008C5F81"/>
    <w:rsid w:val="008C61D8"/>
    <w:rsid w:val="008D371F"/>
    <w:rsid w:val="008D3F46"/>
    <w:rsid w:val="008D4FF3"/>
    <w:rsid w:val="008D5A48"/>
    <w:rsid w:val="008E0812"/>
    <w:rsid w:val="008E08E8"/>
    <w:rsid w:val="008E0F62"/>
    <w:rsid w:val="008E1D42"/>
    <w:rsid w:val="008E1DA1"/>
    <w:rsid w:val="008E3000"/>
    <w:rsid w:val="008E31BA"/>
    <w:rsid w:val="008E38C9"/>
    <w:rsid w:val="008E3A09"/>
    <w:rsid w:val="008E4136"/>
    <w:rsid w:val="008E5224"/>
    <w:rsid w:val="008F177F"/>
    <w:rsid w:val="008F224A"/>
    <w:rsid w:val="008F3714"/>
    <w:rsid w:val="008F38E4"/>
    <w:rsid w:val="008F3E6B"/>
    <w:rsid w:val="008F450F"/>
    <w:rsid w:val="008F74D5"/>
    <w:rsid w:val="008F773B"/>
    <w:rsid w:val="008F7B26"/>
    <w:rsid w:val="00900265"/>
    <w:rsid w:val="00900974"/>
    <w:rsid w:val="00903790"/>
    <w:rsid w:val="00903EEF"/>
    <w:rsid w:val="00903FDC"/>
    <w:rsid w:val="009042C5"/>
    <w:rsid w:val="009058B0"/>
    <w:rsid w:val="00907210"/>
    <w:rsid w:val="0091211A"/>
    <w:rsid w:val="0091294B"/>
    <w:rsid w:val="00912E46"/>
    <w:rsid w:val="00913364"/>
    <w:rsid w:val="00914388"/>
    <w:rsid w:val="009159E2"/>
    <w:rsid w:val="00915BED"/>
    <w:rsid w:val="00920749"/>
    <w:rsid w:val="00922321"/>
    <w:rsid w:val="00922C44"/>
    <w:rsid w:val="00923D75"/>
    <w:rsid w:val="00923E5A"/>
    <w:rsid w:val="00924A21"/>
    <w:rsid w:val="00924D95"/>
    <w:rsid w:val="0092587D"/>
    <w:rsid w:val="00925F07"/>
    <w:rsid w:val="009261E0"/>
    <w:rsid w:val="00926560"/>
    <w:rsid w:val="009276EE"/>
    <w:rsid w:val="00927913"/>
    <w:rsid w:val="00927A24"/>
    <w:rsid w:val="00930126"/>
    <w:rsid w:val="00931331"/>
    <w:rsid w:val="009315DE"/>
    <w:rsid w:val="009320C1"/>
    <w:rsid w:val="00932F04"/>
    <w:rsid w:val="00933377"/>
    <w:rsid w:val="00933B0D"/>
    <w:rsid w:val="00934544"/>
    <w:rsid w:val="0093475F"/>
    <w:rsid w:val="00934B59"/>
    <w:rsid w:val="009363B8"/>
    <w:rsid w:val="00936FCC"/>
    <w:rsid w:val="009414F5"/>
    <w:rsid w:val="00942AAC"/>
    <w:rsid w:val="00942FF1"/>
    <w:rsid w:val="00943D3E"/>
    <w:rsid w:val="009440A5"/>
    <w:rsid w:val="0094445B"/>
    <w:rsid w:val="00944E6B"/>
    <w:rsid w:val="00946E16"/>
    <w:rsid w:val="00946E4D"/>
    <w:rsid w:val="009475AC"/>
    <w:rsid w:val="00947A30"/>
    <w:rsid w:val="00950712"/>
    <w:rsid w:val="009511D1"/>
    <w:rsid w:val="009528CC"/>
    <w:rsid w:val="00952D1D"/>
    <w:rsid w:val="009531AC"/>
    <w:rsid w:val="009534E6"/>
    <w:rsid w:val="00955963"/>
    <w:rsid w:val="00956953"/>
    <w:rsid w:val="00956CCF"/>
    <w:rsid w:val="00960108"/>
    <w:rsid w:val="009615C5"/>
    <w:rsid w:val="009627F1"/>
    <w:rsid w:val="00962D19"/>
    <w:rsid w:val="00963EF5"/>
    <w:rsid w:val="00965C6A"/>
    <w:rsid w:val="00966672"/>
    <w:rsid w:val="00966949"/>
    <w:rsid w:val="00966E67"/>
    <w:rsid w:val="00967933"/>
    <w:rsid w:val="00970079"/>
    <w:rsid w:val="009706CA"/>
    <w:rsid w:val="00971057"/>
    <w:rsid w:val="00972999"/>
    <w:rsid w:val="009730E3"/>
    <w:rsid w:val="00973257"/>
    <w:rsid w:val="00974C8C"/>
    <w:rsid w:val="00975017"/>
    <w:rsid w:val="009757AD"/>
    <w:rsid w:val="00975EDD"/>
    <w:rsid w:val="00977FE3"/>
    <w:rsid w:val="00980FB4"/>
    <w:rsid w:val="0098267C"/>
    <w:rsid w:val="00982CC1"/>
    <w:rsid w:val="009836C0"/>
    <w:rsid w:val="00983BB9"/>
    <w:rsid w:val="009846F8"/>
    <w:rsid w:val="00984A37"/>
    <w:rsid w:val="00985B9B"/>
    <w:rsid w:val="009860AB"/>
    <w:rsid w:val="00987433"/>
    <w:rsid w:val="00990CE5"/>
    <w:rsid w:val="009910FC"/>
    <w:rsid w:val="009920B2"/>
    <w:rsid w:val="00992404"/>
    <w:rsid w:val="00992EE4"/>
    <w:rsid w:val="009937F9"/>
    <w:rsid w:val="00993A69"/>
    <w:rsid w:val="00994112"/>
    <w:rsid w:val="00994F24"/>
    <w:rsid w:val="00995B9D"/>
    <w:rsid w:val="0099646C"/>
    <w:rsid w:val="00996B60"/>
    <w:rsid w:val="00997033"/>
    <w:rsid w:val="009A05F0"/>
    <w:rsid w:val="009A0DD9"/>
    <w:rsid w:val="009A1541"/>
    <w:rsid w:val="009A1F59"/>
    <w:rsid w:val="009A25B4"/>
    <w:rsid w:val="009A28DE"/>
    <w:rsid w:val="009A2A96"/>
    <w:rsid w:val="009A3232"/>
    <w:rsid w:val="009A36C6"/>
    <w:rsid w:val="009A5034"/>
    <w:rsid w:val="009A52B9"/>
    <w:rsid w:val="009A5B06"/>
    <w:rsid w:val="009B037E"/>
    <w:rsid w:val="009B2127"/>
    <w:rsid w:val="009B2571"/>
    <w:rsid w:val="009B367B"/>
    <w:rsid w:val="009B37EC"/>
    <w:rsid w:val="009B44C3"/>
    <w:rsid w:val="009B4A36"/>
    <w:rsid w:val="009B79B4"/>
    <w:rsid w:val="009B7D26"/>
    <w:rsid w:val="009C0502"/>
    <w:rsid w:val="009C1047"/>
    <w:rsid w:val="009C2DA6"/>
    <w:rsid w:val="009C2F3B"/>
    <w:rsid w:val="009C36AA"/>
    <w:rsid w:val="009C4495"/>
    <w:rsid w:val="009C5899"/>
    <w:rsid w:val="009C62EC"/>
    <w:rsid w:val="009C78C2"/>
    <w:rsid w:val="009D26F7"/>
    <w:rsid w:val="009D2826"/>
    <w:rsid w:val="009D3A5F"/>
    <w:rsid w:val="009D4087"/>
    <w:rsid w:val="009D5283"/>
    <w:rsid w:val="009D6C00"/>
    <w:rsid w:val="009D6C25"/>
    <w:rsid w:val="009D75EF"/>
    <w:rsid w:val="009D7615"/>
    <w:rsid w:val="009E0919"/>
    <w:rsid w:val="009E0B99"/>
    <w:rsid w:val="009E13AC"/>
    <w:rsid w:val="009E2F5F"/>
    <w:rsid w:val="009E31C8"/>
    <w:rsid w:val="009E39F3"/>
    <w:rsid w:val="009E47A4"/>
    <w:rsid w:val="009E4D7A"/>
    <w:rsid w:val="009E518B"/>
    <w:rsid w:val="009E5725"/>
    <w:rsid w:val="009E62CB"/>
    <w:rsid w:val="009E63FC"/>
    <w:rsid w:val="009F0E1A"/>
    <w:rsid w:val="009F1488"/>
    <w:rsid w:val="009F2B8F"/>
    <w:rsid w:val="009F2D85"/>
    <w:rsid w:val="009F3742"/>
    <w:rsid w:val="009F62C2"/>
    <w:rsid w:val="009F7596"/>
    <w:rsid w:val="009F7D33"/>
    <w:rsid w:val="00A008C2"/>
    <w:rsid w:val="00A027C6"/>
    <w:rsid w:val="00A03D51"/>
    <w:rsid w:val="00A041C1"/>
    <w:rsid w:val="00A046A7"/>
    <w:rsid w:val="00A046BC"/>
    <w:rsid w:val="00A0562C"/>
    <w:rsid w:val="00A109D5"/>
    <w:rsid w:val="00A10CC9"/>
    <w:rsid w:val="00A10D47"/>
    <w:rsid w:val="00A115AC"/>
    <w:rsid w:val="00A11BC9"/>
    <w:rsid w:val="00A14E86"/>
    <w:rsid w:val="00A150E4"/>
    <w:rsid w:val="00A1584B"/>
    <w:rsid w:val="00A1609E"/>
    <w:rsid w:val="00A163DE"/>
    <w:rsid w:val="00A16663"/>
    <w:rsid w:val="00A20863"/>
    <w:rsid w:val="00A208EC"/>
    <w:rsid w:val="00A20A6E"/>
    <w:rsid w:val="00A22323"/>
    <w:rsid w:val="00A22A47"/>
    <w:rsid w:val="00A22C7B"/>
    <w:rsid w:val="00A23162"/>
    <w:rsid w:val="00A23E29"/>
    <w:rsid w:val="00A249D6"/>
    <w:rsid w:val="00A25402"/>
    <w:rsid w:val="00A25E8F"/>
    <w:rsid w:val="00A2614D"/>
    <w:rsid w:val="00A26513"/>
    <w:rsid w:val="00A2695D"/>
    <w:rsid w:val="00A272B8"/>
    <w:rsid w:val="00A27577"/>
    <w:rsid w:val="00A30658"/>
    <w:rsid w:val="00A32AF8"/>
    <w:rsid w:val="00A32E9A"/>
    <w:rsid w:val="00A3342E"/>
    <w:rsid w:val="00A33BDC"/>
    <w:rsid w:val="00A3419F"/>
    <w:rsid w:val="00A34254"/>
    <w:rsid w:val="00A37804"/>
    <w:rsid w:val="00A4175D"/>
    <w:rsid w:val="00A41F8D"/>
    <w:rsid w:val="00A466C0"/>
    <w:rsid w:val="00A46B89"/>
    <w:rsid w:val="00A47799"/>
    <w:rsid w:val="00A47D5B"/>
    <w:rsid w:val="00A47EA4"/>
    <w:rsid w:val="00A50056"/>
    <w:rsid w:val="00A511CD"/>
    <w:rsid w:val="00A531DD"/>
    <w:rsid w:val="00A54FBD"/>
    <w:rsid w:val="00A55079"/>
    <w:rsid w:val="00A55834"/>
    <w:rsid w:val="00A566B0"/>
    <w:rsid w:val="00A57109"/>
    <w:rsid w:val="00A5769D"/>
    <w:rsid w:val="00A60322"/>
    <w:rsid w:val="00A6090D"/>
    <w:rsid w:val="00A60A42"/>
    <w:rsid w:val="00A60B32"/>
    <w:rsid w:val="00A60D58"/>
    <w:rsid w:val="00A61CCA"/>
    <w:rsid w:val="00A61DED"/>
    <w:rsid w:val="00A62456"/>
    <w:rsid w:val="00A629F1"/>
    <w:rsid w:val="00A658D8"/>
    <w:rsid w:val="00A67665"/>
    <w:rsid w:val="00A70EB6"/>
    <w:rsid w:val="00A7182C"/>
    <w:rsid w:val="00A71E2D"/>
    <w:rsid w:val="00A71ED7"/>
    <w:rsid w:val="00A7578E"/>
    <w:rsid w:val="00A76EF3"/>
    <w:rsid w:val="00A8012D"/>
    <w:rsid w:val="00A80D8B"/>
    <w:rsid w:val="00A823E9"/>
    <w:rsid w:val="00A83416"/>
    <w:rsid w:val="00A85DF5"/>
    <w:rsid w:val="00A86EF0"/>
    <w:rsid w:val="00A9261B"/>
    <w:rsid w:val="00A92852"/>
    <w:rsid w:val="00A92971"/>
    <w:rsid w:val="00A92FC0"/>
    <w:rsid w:val="00A93411"/>
    <w:rsid w:val="00A94DF9"/>
    <w:rsid w:val="00A96A41"/>
    <w:rsid w:val="00A96BCB"/>
    <w:rsid w:val="00A97AA3"/>
    <w:rsid w:val="00A97DDF"/>
    <w:rsid w:val="00AA13C9"/>
    <w:rsid w:val="00AA22A6"/>
    <w:rsid w:val="00AA6373"/>
    <w:rsid w:val="00AA63AB"/>
    <w:rsid w:val="00AA68EE"/>
    <w:rsid w:val="00AA6904"/>
    <w:rsid w:val="00AB1FD4"/>
    <w:rsid w:val="00AB272B"/>
    <w:rsid w:val="00AB33A0"/>
    <w:rsid w:val="00AB4194"/>
    <w:rsid w:val="00AB51FC"/>
    <w:rsid w:val="00AB5205"/>
    <w:rsid w:val="00AB6E95"/>
    <w:rsid w:val="00AB73B0"/>
    <w:rsid w:val="00AC19B0"/>
    <w:rsid w:val="00AC1D40"/>
    <w:rsid w:val="00AC1DE5"/>
    <w:rsid w:val="00AC217D"/>
    <w:rsid w:val="00AC2444"/>
    <w:rsid w:val="00AC3262"/>
    <w:rsid w:val="00AC3FDC"/>
    <w:rsid w:val="00AC4BAE"/>
    <w:rsid w:val="00AC4E15"/>
    <w:rsid w:val="00AC5406"/>
    <w:rsid w:val="00AC7A00"/>
    <w:rsid w:val="00AD096F"/>
    <w:rsid w:val="00AD2C27"/>
    <w:rsid w:val="00AD3787"/>
    <w:rsid w:val="00AD4CC7"/>
    <w:rsid w:val="00AD6690"/>
    <w:rsid w:val="00AD6972"/>
    <w:rsid w:val="00AD7F33"/>
    <w:rsid w:val="00AE159B"/>
    <w:rsid w:val="00AE1EA6"/>
    <w:rsid w:val="00AE2589"/>
    <w:rsid w:val="00AE2AE6"/>
    <w:rsid w:val="00AE2C92"/>
    <w:rsid w:val="00AE33C3"/>
    <w:rsid w:val="00AE47A2"/>
    <w:rsid w:val="00AE4C4C"/>
    <w:rsid w:val="00AE60D4"/>
    <w:rsid w:val="00AF1345"/>
    <w:rsid w:val="00AF4664"/>
    <w:rsid w:val="00AF6126"/>
    <w:rsid w:val="00AF7D6D"/>
    <w:rsid w:val="00B017BE"/>
    <w:rsid w:val="00B019B1"/>
    <w:rsid w:val="00B0227A"/>
    <w:rsid w:val="00B02E39"/>
    <w:rsid w:val="00B02F74"/>
    <w:rsid w:val="00B040C4"/>
    <w:rsid w:val="00B04C59"/>
    <w:rsid w:val="00B04D57"/>
    <w:rsid w:val="00B065B2"/>
    <w:rsid w:val="00B0679A"/>
    <w:rsid w:val="00B07589"/>
    <w:rsid w:val="00B0765E"/>
    <w:rsid w:val="00B1557B"/>
    <w:rsid w:val="00B15D3A"/>
    <w:rsid w:val="00B15FCB"/>
    <w:rsid w:val="00B167C2"/>
    <w:rsid w:val="00B17027"/>
    <w:rsid w:val="00B1767B"/>
    <w:rsid w:val="00B20670"/>
    <w:rsid w:val="00B21785"/>
    <w:rsid w:val="00B22775"/>
    <w:rsid w:val="00B22BDB"/>
    <w:rsid w:val="00B22BEF"/>
    <w:rsid w:val="00B25A4F"/>
    <w:rsid w:val="00B27DC5"/>
    <w:rsid w:val="00B27DE9"/>
    <w:rsid w:val="00B3043A"/>
    <w:rsid w:val="00B408A3"/>
    <w:rsid w:val="00B41B00"/>
    <w:rsid w:val="00B423D8"/>
    <w:rsid w:val="00B423E5"/>
    <w:rsid w:val="00B4337A"/>
    <w:rsid w:val="00B43C8D"/>
    <w:rsid w:val="00B43E8A"/>
    <w:rsid w:val="00B46055"/>
    <w:rsid w:val="00B46503"/>
    <w:rsid w:val="00B466B5"/>
    <w:rsid w:val="00B469DB"/>
    <w:rsid w:val="00B50F0A"/>
    <w:rsid w:val="00B52FF5"/>
    <w:rsid w:val="00B53F93"/>
    <w:rsid w:val="00B55362"/>
    <w:rsid w:val="00B5698F"/>
    <w:rsid w:val="00B56998"/>
    <w:rsid w:val="00B60E87"/>
    <w:rsid w:val="00B60EF9"/>
    <w:rsid w:val="00B64C29"/>
    <w:rsid w:val="00B65349"/>
    <w:rsid w:val="00B70BF0"/>
    <w:rsid w:val="00B70EF1"/>
    <w:rsid w:val="00B711EA"/>
    <w:rsid w:val="00B7176C"/>
    <w:rsid w:val="00B72A29"/>
    <w:rsid w:val="00B72EEC"/>
    <w:rsid w:val="00B7454D"/>
    <w:rsid w:val="00B74BB2"/>
    <w:rsid w:val="00B7572C"/>
    <w:rsid w:val="00B75997"/>
    <w:rsid w:val="00B75D2E"/>
    <w:rsid w:val="00B7784C"/>
    <w:rsid w:val="00B82689"/>
    <w:rsid w:val="00B8527E"/>
    <w:rsid w:val="00B87FCB"/>
    <w:rsid w:val="00B9090F"/>
    <w:rsid w:val="00B91ED4"/>
    <w:rsid w:val="00B91F72"/>
    <w:rsid w:val="00B93BA6"/>
    <w:rsid w:val="00BA0629"/>
    <w:rsid w:val="00BA0CDC"/>
    <w:rsid w:val="00BA17F6"/>
    <w:rsid w:val="00BA1955"/>
    <w:rsid w:val="00BA1D2A"/>
    <w:rsid w:val="00BA2307"/>
    <w:rsid w:val="00BA3BCC"/>
    <w:rsid w:val="00BA4CA5"/>
    <w:rsid w:val="00BA5A95"/>
    <w:rsid w:val="00BA5D09"/>
    <w:rsid w:val="00BA753B"/>
    <w:rsid w:val="00BB0BD8"/>
    <w:rsid w:val="00BB1724"/>
    <w:rsid w:val="00BB1C4C"/>
    <w:rsid w:val="00BB4D1E"/>
    <w:rsid w:val="00BB5315"/>
    <w:rsid w:val="00BB5555"/>
    <w:rsid w:val="00BB695A"/>
    <w:rsid w:val="00BB7797"/>
    <w:rsid w:val="00BC1B73"/>
    <w:rsid w:val="00BC1FB9"/>
    <w:rsid w:val="00BC246F"/>
    <w:rsid w:val="00BC271A"/>
    <w:rsid w:val="00BC2A17"/>
    <w:rsid w:val="00BC404A"/>
    <w:rsid w:val="00BC50DF"/>
    <w:rsid w:val="00BD1386"/>
    <w:rsid w:val="00BD30E9"/>
    <w:rsid w:val="00BD3EE7"/>
    <w:rsid w:val="00BD6319"/>
    <w:rsid w:val="00BD6D1E"/>
    <w:rsid w:val="00BE02B4"/>
    <w:rsid w:val="00BE0EF2"/>
    <w:rsid w:val="00BE1511"/>
    <w:rsid w:val="00BE1774"/>
    <w:rsid w:val="00BE2129"/>
    <w:rsid w:val="00BE236E"/>
    <w:rsid w:val="00BE433F"/>
    <w:rsid w:val="00BE7376"/>
    <w:rsid w:val="00BF0016"/>
    <w:rsid w:val="00BF23CA"/>
    <w:rsid w:val="00BF2D72"/>
    <w:rsid w:val="00BF3ECF"/>
    <w:rsid w:val="00BF5CD0"/>
    <w:rsid w:val="00BF60EB"/>
    <w:rsid w:val="00BF6B86"/>
    <w:rsid w:val="00BF7EE7"/>
    <w:rsid w:val="00C0129C"/>
    <w:rsid w:val="00C03396"/>
    <w:rsid w:val="00C03C3B"/>
    <w:rsid w:val="00C044D5"/>
    <w:rsid w:val="00C046CB"/>
    <w:rsid w:val="00C04B2D"/>
    <w:rsid w:val="00C071BF"/>
    <w:rsid w:val="00C10D44"/>
    <w:rsid w:val="00C10F6F"/>
    <w:rsid w:val="00C11198"/>
    <w:rsid w:val="00C11517"/>
    <w:rsid w:val="00C14F55"/>
    <w:rsid w:val="00C200E3"/>
    <w:rsid w:val="00C20B33"/>
    <w:rsid w:val="00C21712"/>
    <w:rsid w:val="00C22C8C"/>
    <w:rsid w:val="00C22FC9"/>
    <w:rsid w:val="00C23537"/>
    <w:rsid w:val="00C2365D"/>
    <w:rsid w:val="00C2664B"/>
    <w:rsid w:val="00C2665F"/>
    <w:rsid w:val="00C26FFE"/>
    <w:rsid w:val="00C274A3"/>
    <w:rsid w:val="00C30744"/>
    <w:rsid w:val="00C31E0E"/>
    <w:rsid w:val="00C3494C"/>
    <w:rsid w:val="00C34D91"/>
    <w:rsid w:val="00C35238"/>
    <w:rsid w:val="00C3554D"/>
    <w:rsid w:val="00C35F23"/>
    <w:rsid w:val="00C374DB"/>
    <w:rsid w:val="00C42358"/>
    <w:rsid w:val="00C43826"/>
    <w:rsid w:val="00C45F18"/>
    <w:rsid w:val="00C47324"/>
    <w:rsid w:val="00C47ADC"/>
    <w:rsid w:val="00C47B4C"/>
    <w:rsid w:val="00C504D8"/>
    <w:rsid w:val="00C511D7"/>
    <w:rsid w:val="00C515F9"/>
    <w:rsid w:val="00C54ABB"/>
    <w:rsid w:val="00C55A62"/>
    <w:rsid w:val="00C55AEE"/>
    <w:rsid w:val="00C570DF"/>
    <w:rsid w:val="00C57A7D"/>
    <w:rsid w:val="00C57AC7"/>
    <w:rsid w:val="00C61775"/>
    <w:rsid w:val="00C620B5"/>
    <w:rsid w:val="00C64A2F"/>
    <w:rsid w:val="00C66165"/>
    <w:rsid w:val="00C70852"/>
    <w:rsid w:val="00C709FD"/>
    <w:rsid w:val="00C71D74"/>
    <w:rsid w:val="00C725E2"/>
    <w:rsid w:val="00C7444C"/>
    <w:rsid w:val="00C745FA"/>
    <w:rsid w:val="00C74E9C"/>
    <w:rsid w:val="00C774CC"/>
    <w:rsid w:val="00C7772B"/>
    <w:rsid w:val="00C77AC1"/>
    <w:rsid w:val="00C77E8D"/>
    <w:rsid w:val="00C80336"/>
    <w:rsid w:val="00C81745"/>
    <w:rsid w:val="00C81E9B"/>
    <w:rsid w:val="00C838D8"/>
    <w:rsid w:val="00C85299"/>
    <w:rsid w:val="00C86370"/>
    <w:rsid w:val="00C873D0"/>
    <w:rsid w:val="00C90C69"/>
    <w:rsid w:val="00C94FCA"/>
    <w:rsid w:val="00C95FEB"/>
    <w:rsid w:val="00CA08E2"/>
    <w:rsid w:val="00CA0EDD"/>
    <w:rsid w:val="00CA0F26"/>
    <w:rsid w:val="00CA26A0"/>
    <w:rsid w:val="00CA30D8"/>
    <w:rsid w:val="00CA3488"/>
    <w:rsid w:val="00CA5193"/>
    <w:rsid w:val="00CA6BD0"/>
    <w:rsid w:val="00CB0163"/>
    <w:rsid w:val="00CB114F"/>
    <w:rsid w:val="00CB1B84"/>
    <w:rsid w:val="00CB22F9"/>
    <w:rsid w:val="00CB2380"/>
    <w:rsid w:val="00CB31C6"/>
    <w:rsid w:val="00CB33BD"/>
    <w:rsid w:val="00CB401B"/>
    <w:rsid w:val="00CB491D"/>
    <w:rsid w:val="00CB5BC3"/>
    <w:rsid w:val="00CB5DB9"/>
    <w:rsid w:val="00CB69C0"/>
    <w:rsid w:val="00CB75AC"/>
    <w:rsid w:val="00CC1CA1"/>
    <w:rsid w:val="00CC3D7F"/>
    <w:rsid w:val="00CC4B34"/>
    <w:rsid w:val="00CD01CE"/>
    <w:rsid w:val="00CD17C5"/>
    <w:rsid w:val="00CD3682"/>
    <w:rsid w:val="00CD36BF"/>
    <w:rsid w:val="00CD36C0"/>
    <w:rsid w:val="00CD36D1"/>
    <w:rsid w:val="00CD3972"/>
    <w:rsid w:val="00CD5244"/>
    <w:rsid w:val="00CD5864"/>
    <w:rsid w:val="00CD754A"/>
    <w:rsid w:val="00CE132A"/>
    <w:rsid w:val="00CE153B"/>
    <w:rsid w:val="00CE1940"/>
    <w:rsid w:val="00CE275E"/>
    <w:rsid w:val="00CE3D8A"/>
    <w:rsid w:val="00CE3EB3"/>
    <w:rsid w:val="00CE6004"/>
    <w:rsid w:val="00CE622F"/>
    <w:rsid w:val="00CE6FE6"/>
    <w:rsid w:val="00CE711B"/>
    <w:rsid w:val="00CE7FEF"/>
    <w:rsid w:val="00CF02E5"/>
    <w:rsid w:val="00CF1348"/>
    <w:rsid w:val="00CF1435"/>
    <w:rsid w:val="00CF3BB0"/>
    <w:rsid w:val="00CF4DE9"/>
    <w:rsid w:val="00CF540A"/>
    <w:rsid w:val="00CF6A5C"/>
    <w:rsid w:val="00CF733C"/>
    <w:rsid w:val="00CF758D"/>
    <w:rsid w:val="00CF7669"/>
    <w:rsid w:val="00CF7832"/>
    <w:rsid w:val="00CF7B2B"/>
    <w:rsid w:val="00D04A3D"/>
    <w:rsid w:val="00D059C7"/>
    <w:rsid w:val="00D05CE5"/>
    <w:rsid w:val="00D10D24"/>
    <w:rsid w:val="00D11177"/>
    <w:rsid w:val="00D11CCD"/>
    <w:rsid w:val="00D12601"/>
    <w:rsid w:val="00D1293A"/>
    <w:rsid w:val="00D1359A"/>
    <w:rsid w:val="00D145F4"/>
    <w:rsid w:val="00D16339"/>
    <w:rsid w:val="00D16D44"/>
    <w:rsid w:val="00D20C6E"/>
    <w:rsid w:val="00D21798"/>
    <w:rsid w:val="00D2342C"/>
    <w:rsid w:val="00D24A94"/>
    <w:rsid w:val="00D26035"/>
    <w:rsid w:val="00D26318"/>
    <w:rsid w:val="00D27272"/>
    <w:rsid w:val="00D273F8"/>
    <w:rsid w:val="00D27A25"/>
    <w:rsid w:val="00D31A55"/>
    <w:rsid w:val="00D34417"/>
    <w:rsid w:val="00D361B7"/>
    <w:rsid w:val="00D4050B"/>
    <w:rsid w:val="00D40AD8"/>
    <w:rsid w:val="00D4145A"/>
    <w:rsid w:val="00D41681"/>
    <w:rsid w:val="00D42C06"/>
    <w:rsid w:val="00D4321C"/>
    <w:rsid w:val="00D44592"/>
    <w:rsid w:val="00D44BC4"/>
    <w:rsid w:val="00D458D9"/>
    <w:rsid w:val="00D45A39"/>
    <w:rsid w:val="00D4624D"/>
    <w:rsid w:val="00D46A26"/>
    <w:rsid w:val="00D47C66"/>
    <w:rsid w:val="00D47D68"/>
    <w:rsid w:val="00D50DE4"/>
    <w:rsid w:val="00D513A0"/>
    <w:rsid w:val="00D51946"/>
    <w:rsid w:val="00D51BE7"/>
    <w:rsid w:val="00D52AA9"/>
    <w:rsid w:val="00D53147"/>
    <w:rsid w:val="00D53149"/>
    <w:rsid w:val="00D5350C"/>
    <w:rsid w:val="00D54141"/>
    <w:rsid w:val="00D551C3"/>
    <w:rsid w:val="00D5543B"/>
    <w:rsid w:val="00D556F9"/>
    <w:rsid w:val="00D56EC8"/>
    <w:rsid w:val="00D576C0"/>
    <w:rsid w:val="00D61022"/>
    <w:rsid w:val="00D630B1"/>
    <w:rsid w:val="00D64395"/>
    <w:rsid w:val="00D645DE"/>
    <w:rsid w:val="00D64AB3"/>
    <w:rsid w:val="00D64FEB"/>
    <w:rsid w:val="00D65512"/>
    <w:rsid w:val="00D6748E"/>
    <w:rsid w:val="00D676DB"/>
    <w:rsid w:val="00D678C1"/>
    <w:rsid w:val="00D70EB0"/>
    <w:rsid w:val="00D7107B"/>
    <w:rsid w:val="00D711A2"/>
    <w:rsid w:val="00D72540"/>
    <w:rsid w:val="00D7269D"/>
    <w:rsid w:val="00D72C80"/>
    <w:rsid w:val="00D7370C"/>
    <w:rsid w:val="00D73988"/>
    <w:rsid w:val="00D74447"/>
    <w:rsid w:val="00D745A3"/>
    <w:rsid w:val="00D74FA3"/>
    <w:rsid w:val="00D7616E"/>
    <w:rsid w:val="00D76D6B"/>
    <w:rsid w:val="00D7763A"/>
    <w:rsid w:val="00D813B3"/>
    <w:rsid w:val="00D82AF6"/>
    <w:rsid w:val="00D84101"/>
    <w:rsid w:val="00D85128"/>
    <w:rsid w:val="00D8565F"/>
    <w:rsid w:val="00D903CA"/>
    <w:rsid w:val="00D90441"/>
    <w:rsid w:val="00D90A98"/>
    <w:rsid w:val="00D912A6"/>
    <w:rsid w:val="00D91A2E"/>
    <w:rsid w:val="00D91ED1"/>
    <w:rsid w:val="00D91FDE"/>
    <w:rsid w:val="00D9343D"/>
    <w:rsid w:val="00D93466"/>
    <w:rsid w:val="00D94086"/>
    <w:rsid w:val="00D95CC1"/>
    <w:rsid w:val="00D95CC7"/>
    <w:rsid w:val="00D95DDE"/>
    <w:rsid w:val="00D962B6"/>
    <w:rsid w:val="00D96994"/>
    <w:rsid w:val="00DA02C9"/>
    <w:rsid w:val="00DA0554"/>
    <w:rsid w:val="00DA062C"/>
    <w:rsid w:val="00DA0F4A"/>
    <w:rsid w:val="00DA290A"/>
    <w:rsid w:val="00DA36AE"/>
    <w:rsid w:val="00DA3E2D"/>
    <w:rsid w:val="00DA3EF8"/>
    <w:rsid w:val="00DA42E7"/>
    <w:rsid w:val="00DA5BA9"/>
    <w:rsid w:val="00DA5F78"/>
    <w:rsid w:val="00DB2F90"/>
    <w:rsid w:val="00DB30E6"/>
    <w:rsid w:val="00DB44EE"/>
    <w:rsid w:val="00DB5EDA"/>
    <w:rsid w:val="00DB6CBB"/>
    <w:rsid w:val="00DB6DF3"/>
    <w:rsid w:val="00DB7BCC"/>
    <w:rsid w:val="00DC0406"/>
    <w:rsid w:val="00DC34F3"/>
    <w:rsid w:val="00DC3684"/>
    <w:rsid w:val="00DC72BF"/>
    <w:rsid w:val="00DC774F"/>
    <w:rsid w:val="00DC7EBC"/>
    <w:rsid w:val="00DD0967"/>
    <w:rsid w:val="00DD11B4"/>
    <w:rsid w:val="00DD1361"/>
    <w:rsid w:val="00DD249B"/>
    <w:rsid w:val="00DD34F1"/>
    <w:rsid w:val="00DD42D4"/>
    <w:rsid w:val="00DD5626"/>
    <w:rsid w:val="00DD68F5"/>
    <w:rsid w:val="00DE1DF3"/>
    <w:rsid w:val="00DE2631"/>
    <w:rsid w:val="00DE2F1F"/>
    <w:rsid w:val="00DE4656"/>
    <w:rsid w:val="00DE466E"/>
    <w:rsid w:val="00DE4B7C"/>
    <w:rsid w:val="00DE4FE2"/>
    <w:rsid w:val="00DE58D6"/>
    <w:rsid w:val="00DE6772"/>
    <w:rsid w:val="00DE7E93"/>
    <w:rsid w:val="00DF0071"/>
    <w:rsid w:val="00DF0923"/>
    <w:rsid w:val="00DF49C4"/>
    <w:rsid w:val="00DF5336"/>
    <w:rsid w:val="00DF53D0"/>
    <w:rsid w:val="00DF543F"/>
    <w:rsid w:val="00DF56C9"/>
    <w:rsid w:val="00DF7A25"/>
    <w:rsid w:val="00DF7AE6"/>
    <w:rsid w:val="00DF7FB2"/>
    <w:rsid w:val="00E00224"/>
    <w:rsid w:val="00E0149E"/>
    <w:rsid w:val="00E021EA"/>
    <w:rsid w:val="00E02FBA"/>
    <w:rsid w:val="00E03058"/>
    <w:rsid w:val="00E031B5"/>
    <w:rsid w:val="00E072B7"/>
    <w:rsid w:val="00E10641"/>
    <w:rsid w:val="00E115A1"/>
    <w:rsid w:val="00E129D4"/>
    <w:rsid w:val="00E140ED"/>
    <w:rsid w:val="00E14C1F"/>
    <w:rsid w:val="00E15631"/>
    <w:rsid w:val="00E15A67"/>
    <w:rsid w:val="00E16244"/>
    <w:rsid w:val="00E1713B"/>
    <w:rsid w:val="00E2091C"/>
    <w:rsid w:val="00E2172D"/>
    <w:rsid w:val="00E22C04"/>
    <w:rsid w:val="00E23ADD"/>
    <w:rsid w:val="00E244A5"/>
    <w:rsid w:val="00E24709"/>
    <w:rsid w:val="00E25762"/>
    <w:rsid w:val="00E26265"/>
    <w:rsid w:val="00E278B2"/>
    <w:rsid w:val="00E30CC4"/>
    <w:rsid w:val="00E31BC3"/>
    <w:rsid w:val="00E33F3A"/>
    <w:rsid w:val="00E34353"/>
    <w:rsid w:val="00E357F4"/>
    <w:rsid w:val="00E36AA5"/>
    <w:rsid w:val="00E36C1B"/>
    <w:rsid w:val="00E378A4"/>
    <w:rsid w:val="00E40025"/>
    <w:rsid w:val="00E40036"/>
    <w:rsid w:val="00E41B24"/>
    <w:rsid w:val="00E42560"/>
    <w:rsid w:val="00E4388A"/>
    <w:rsid w:val="00E43BAF"/>
    <w:rsid w:val="00E44483"/>
    <w:rsid w:val="00E445FA"/>
    <w:rsid w:val="00E44E09"/>
    <w:rsid w:val="00E458F7"/>
    <w:rsid w:val="00E4657E"/>
    <w:rsid w:val="00E46E51"/>
    <w:rsid w:val="00E4704A"/>
    <w:rsid w:val="00E47503"/>
    <w:rsid w:val="00E47606"/>
    <w:rsid w:val="00E50BD1"/>
    <w:rsid w:val="00E51F9B"/>
    <w:rsid w:val="00E53220"/>
    <w:rsid w:val="00E54A0B"/>
    <w:rsid w:val="00E5506B"/>
    <w:rsid w:val="00E551DA"/>
    <w:rsid w:val="00E552FB"/>
    <w:rsid w:val="00E555EC"/>
    <w:rsid w:val="00E55E3C"/>
    <w:rsid w:val="00E56035"/>
    <w:rsid w:val="00E5699E"/>
    <w:rsid w:val="00E57296"/>
    <w:rsid w:val="00E6015F"/>
    <w:rsid w:val="00E6025B"/>
    <w:rsid w:val="00E607A4"/>
    <w:rsid w:val="00E60BDA"/>
    <w:rsid w:val="00E60DDD"/>
    <w:rsid w:val="00E62796"/>
    <w:rsid w:val="00E635BA"/>
    <w:rsid w:val="00E637D1"/>
    <w:rsid w:val="00E64F1D"/>
    <w:rsid w:val="00E6548A"/>
    <w:rsid w:val="00E66012"/>
    <w:rsid w:val="00E6678E"/>
    <w:rsid w:val="00E677CD"/>
    <w:rsid w:val="00E71091"/>
    <w:rsid w:val="00E71ECD"/>
    <w:rsid w:val="00E72AB1"/>
    <w:rsid w:val="00E72B70"/>
    <w:rsid w:val="00E72F17"/>
    <w:rsid w:val="00E7301F"/>
    <w:rsid w:val="00E7320D"/>
    <w:rsid w:val="00E740C4"/>
    <w:rsid w:val="00E74689"/>
    <w:rsid w:val="00E74A88"/>
    <w:rsid w:val="00E759B6"/>
    <w:rsid w:val="00E75AA0"/>
    <w:rsid w:val="00E7627A"/>
    <w:rsid w:val="00E77611"/>
    <w:rsid w:val="00E779FE"/>
    <w:rsid w:val="00E81770"/>
    <w:rsid w:val="00E82128"/>
    <w:rsid w:val="00E84664"/>
    <w:rsid w:val="00E86BA9"/>
    <w:rsid w:val="00E87039"/>
    <w:rsid w:val="00E90F49"/>
    <w:rsid w:val="00E92C44"/>
    <w:rsid w:val="00E9391B"/>
    <w:rsid w:val="00E939E6"/>
    <w:rsid w:val="00E93B42"/>
    <w:rsid w:val="00E94E28"/>
    <w:rsid w:val="00E97984"/>
    <w:rsid w:val="00EA0190"/>
    <w:rsid w:val="00EA0C9C"/>
    <w:rsid w:val="00EA1EE5"/>
    <w:rsid w:val="00EA5DCE"/>
    <w:rsid w:val="00EA5E80"/>
    <w:rsid w:val="00EA7819"/>
    <w:rsid w:val="00EB13E7"/>
    <w:rsid w:val="00EB151D"/>
    <w:rsid w:val="00EB1737"/>
    <w:rsid w:val="00EB25EF"/>
    <w:rsid w:val="00EB2F72"/>
    <w:rsid w:val="00EB4F6A"/>
    <w:rsid w:val="00EB67AB"/>
    <w:rsid w:val="00EB75FB"/>
    <w:rsid w:val="00EB7E7C"/>
    <w:rsid w:val="00EB7F38"/>
    <w:rsid w:val="00EC03F2"/>
    <w:rsid w:val="00EC0F07"/>
    <w:rsid w:val="00EC1436"/>
    <w:rsid w:val="00EC47B2"/>
    <w:rsid w:val="00EC5C74"/>
    <w:rsid w:val="00EC60C7"/>
    <w:rsid w:val="00EC68BE"/>
    <w:rsid w:val="00EC715A"/>
    <w:rsid w:val="00EC7FD6"/>
    <w:rsid w:val="00ED0A2B"/>
    <w:rsid w:val="00ED1EFA"/>
    <w:rsid w:val="00ED3A29"/>
    <w:rsid w:val="00ED3CDD"/>
    <w:rsid w:val="00ED42C1"/>
    <w:rsid w:val="00ED4DA5"/>
    <w:rsid w:val="00ED5388"/>
    <w:rsid w:val="00ED5F7E"/>
    <w:rsid w:val="00ED6F36"/>
    <w:rsid w:val="00ED7063"/>
    <w:rsid w:val="00ED7174"/>
    <w:rsid w:val="00EE0093"/>
    <w:rsid w:val="00EE1218"/>
    <w:rsid w:val="00EE1A49"/>
    <w:rsid w:val="00EE21A8"/>
    <w:rsid w:val="00EE2A9E"/>
    <w:rsid w:val="00EE4FE5"/>
    <w:rsid w:val="00EE5993"/>
    <w:rsid w:val="00EE77A7"/>
    <w:rsid w:val="00EF1250"/>
    <w:rsid w:val="00EF12A3"/>
    <w:rsid w:val="00EF1677"/>
    <w:rsid w:val="00EF26C4"/>
    <w:rsid w:val="00EF3A93"/>
    <w:rsid w:val="00EF455E"/>
    <w:rsid w:val="00EF5B82"/>
    <w:rsid w:val="00EF6113"/>
    <w:rsid w:val="00EF6D37"/>
    <w:rsid w:val="00EF734B"/>
    <w:rsid w:val="00EF7A38"/>
    <w:rsid w:val="00F0075E"/>
    <w:rsid w:val="00F008DC"/>
    <w:rsid w:val="00F01AA4"/>
    <w:rsid w:val="00F024A1"/>
    <w:rsid w:val="00F02875"/>
    <w:rsid w:val="00F0311D"/>
    <w:rsid w:val="00F04073"/>
    <w:rsid w:val="00F04645"/>
    <w:rsid w:val="00F0584A"/>
    <w:rsid w:val="00F06E08"/>
    <w:rsid w:val="00F07BEA"/>
    <w:rsid w:val="00F10686"/>
    <w:rsid w:val="00F119A3"/>
    <w:rsid w:val="00F12E5C"/>
    <w:rsid w:val="00F137D2"/>
    <w:rsid w:val="00F140FB"/>
    <w:rsid w:val="00F14A72"/>
    <w:rsid w:val="00F15CC0"/>
    <w:rsid w:val="00F17429"/>
    <w:rsid w:val="00F208F8"/>
    <w:rsid w:val="00F20F7F"/>
    <w:rsid w:val="00F21609"/>
    <w:rsid w:val="00F218B8"/>
    <w:rsid w:val="00F21D67"/>
    <w:rsid w:val="00F240F2"/>
    <w:rsid w:val="00F25957"/>
    <w:rsid w:val="00F25AC0"/>
    <w:rsid w:val="00F26AA6"/>
    <w:rsid w:val="00F31B98"/>
    <w:rsid w:val="00F32F1A"/>
    <w:rsid w:val="00F336CC"/>
    <w:rsid w:val="00F33850"/>
    <w:rsid w:val="00F3390C"/>
    <w:rsid w:val="00F35209"/>
    <w:rsid w:val="00F356FB"/>
    <w:rsid w:val="00F35998"/>
    <w:rsid w:val="00F359C2"/>
    <w:rsid w:val="00F360E9"/>
    <w:rsid w:val="00F40AB3"/>
    <w:rsid w:val="00F40C59"/>
    <w:rsid w:val="00F410A6"/>
    <w:rsid w:val="00F416CC"/>
    <w:rsid w:val="00F42056"/>
    <w:rsid w:val="00F42796"/>
    <w:rsid w:val="00F45299"/>
    <w:rsid w:val="00F45F6B"/>
    <w:rsid w:val="00F47D09"/>
    <w:rsid w:val="00F5043B"/>
    <w:rsid w:val="00F504AA"/>
    <w:rsid w:val="00F505F9"/>
    <w:rsid w:val="00F52B71"/>
    <w:rsid w:val="00F540C8"/>
    <w:rsid w:val="00F541E5"/>
    <w:rsid w:val="00F54E32"/>
    <w:rsid w:val="00F55053"/>
    <w:rsid w:val="00F550AE"/>
    <w:rsid w:val="00F55324"/>
    <w:rsid w:val="00F55A55"/>
    <w:rsid w:val="00F601D1"/>
    <w:rsid w:val="00F6042D"/>
    <w:rsid w:val="00F604CF"/>
    <w:rsid w:val="00F612AA"/>
    <w:rsid w:val="00F6224A"/>
    <w:rsid w:val="00F62C29"/>
    <w:rsid w:val="00F63B52"/>
    <w:rsid w:val="00F65461"/>
    <w:rsid w:val="00F6563A"/>
    <w:rsid w:val="00F666E1"/>
    <w:rsid w:val="00F67056"/>
    <w:rsid w:val="00F67E35"/>
    <w:rsid w:val="00F67FB0"/>
    <w:rsid w:val="00F70406"/>
    <w:rsid w:val="00F70BDE"/>
    <w:rsid w:val="00F71FB4"/>
    <w:rsid w:val="00F73FD3"/>
    <w:rsid w:val="00F75294"/>
    <w:rsid w:val="00F756E7"/>
    <w:rsid w:val="00F76128"/>
    <w:rsid w:val="00F7644F"/>
    <w:rsid w:val="00F7687F"/>
    <w:rsid w:val="00F77A94"/>
    <w:rsid w:val="00F82ADC"/>
    <w:rsid w:val="00F82CA2"/>
    <w:rsid w:val="00F84923"/>
    <w:rsid w:val="00F86273"/>
    <w:rsid w:val="00F87E9B"/>
    <w:rsid w:val="00F90941"/>
    <w:rsid w:val="00F90C14"/>
    <w:rsid w:val="00F90C2C"/>
    <w:rsid w:val="00F917EB"/>
    <w:rsid w:val="00F92248"/>
    <w:rsid w:val="00F95DE1"/>
    <w:rsid w:val="00F97EB3"/>
    <w:rsid w:val="00FA0A36"/>
    <w:rsid w:val="00FA13BD"/>
    <w:rsid w:val="00FA1898"/>
    <w:rsid w:val="00FA202E"/>
    <w:rsid w:val="00FA392E"/>
    <w:rsid w:val="00FA414B"/>
    <w:rsid w:val="00FA5CAC"/>
    <w:rsid w:val="00FA6B59"/>
    <w:rsid w:val="00FA7918"/>
    <w:rsid w:val="00FB060C"/>
    <w:rsid w:val="00FB1312"/>
    <w:rsid w:val="00FB26FC"/>
    <w:rsid w:val="00FB27C1"/>
    <w:rsid w:val="00FB2902"/>
    <w:rsid w:val="00FB2BC7"/>
    <w:rsid w:val="00FB3C70"/>
    <w:rsid w:val="00FB589D"/>
    <w:rsid w:val="00FB67D3"/>
    <w:rsid w:val="00FB6D33"/>
    <w:rsid w:val="00FB7179"/>
    <w:rsid w:val="00FB7BFE"/>
    <w:rsid w:val="00FC0657"/>
    <w:rsid w:val="00FC12B9"/>
    <w:rsid w:val="00FC1B20"/>
    <w:rsid w:val="00FC1E38"/>
    <w:rsid w:val="00FC3345"/>
    <w:rsid w:val="00FC36D7"/>
    <w:rsid w:val="00FC3753"/>
    <w:rsid w:val="00FC3BD6"/>
    <w:rsid w:val="00FC534F"/>
    <w:rsid w:val="00FC5511"/>
    <w:rsid w:val="00FC74D6"/>
    <w:rsid w:val="00FC7F41"/>
    <w:rsid w:val="00FD0EDE"/>
    <w:rsid w:val="00FD41BF"/>
    <w:rsid w:val="00FD4BF4"/>
    <w:rsid w:val="00FD5350"/>
    <w:rsid w:val="00FD5986"/>
    <w:rsid w:val="00FD5D98"/>
    <w:rsid w:val="00FD5E17"/>
    <w:rsid w:val="00FD62D5"/>
    <w:rsid w:val="00FD634F"/>
    <w:rsid w:val="00FD7F89"/>
    <w:rsid w:val="00FE0634"/>
    <w:rsid w:val="00FE27C2"/>
    <w:rsid w:val="00FE2F25"/>
    <w:rsid w:val="00FE2FCC"/>
    <w:rsid w:val="00FE4433"/>
    <w:rsid w:val="00FE46B6"/>
    <w:rsid w:val="00FE488F"/>
    <w:rsid w:val="00FE539A"/>
    <w:rsid w:val="00FE54E0"/>
    <w:rsid w:val="00FE5A28"/>
    <w:rsid w:val="00FE6844"/>
    <w:rsid w:val="00FE75BE"/>
    <w:rsid w:val="00FE766F"/>
    <w:rsid w:val="00FE7A28"/>
    <w:rsid w:val="00FF1C1B"/>
    <w:rsid w:val="00FF1F0D"/>
    <w:rsid w:val="00FF3980"/>
    <w:rsid w:val="00FF3CDB"/>
    <w:rsid w:val="00FF4899"/>
    <w:rsid w:val="00FF5D26"/>
    <w:rsid w:val="00FF67ED"/>
    <w:rsid w:val="00FF68D7"/>
    <w:rsid w:val="00FF6B7F"/>
    <w:rsid w:val="00FF7880"/>
    <w:rsid w:val="00FF7AD9"/>
    <w:rsid w:val="013D5B72"/>
    <w:rsid w:val="016E2E23"/>
    <w:rsid w:val="02A93BD7"/>
    <w:rsid w:val="02B12A4B"/>
    <w:rsid w:val="02CB0FF1"/>
    <w:rsid w:val="02F12111"/>
    <w:rsid w:val="03915807"/>
    <w:rsid w:val="03B31109"/>
    <w:rsid w:val="03E52436"/>
    <w:rsid w:val="04030E08"/>
    <w:rsid w:val="0438731E"/>
    <w:rsid w:val="044A39F0"/>
    <w:rsid w:val="04D04CB1"/>
    <w:rsid w:val="05947964"/>
    <w:rsid w:val="05991F60"/>
    <w:rsid w:val="05FC6C80"/>
    <w:rsid w:val="061C7109"/>
    <w:rsid w:val="06837BC4"/>
    <w:rsid w:val="06D40F15"/>
    <w:rsid w:val="072D508B"/>
    <w:rsid w:val="07FB67F7"/>
    <w:rsid w:val="08265411"/>
    <w:rsid w:val="085808EC"/>
    <w:rsid w:val="08B02B30"/>
    <w:rsid w:val="08DA76B0"/>
    <w:rsid w:val="09A23581"/>
    <w:rsid w:val="09D1225D"/>
    <w:rsid w:val="0A306599"/>
    <w:rsid w:val="0B0E3367"/>
    <w:rsid w:val="0C0633A7"/>
    <w:rsid w:val="0C1B4EC5"/>
    <w:rsid w:val="0CEE7BE3"/>
    <w:rsid w:val="0D8C548A"/>
    <w:rsid w:val="0DA042B6"/>
    <w:rsid w:val="0E7C659C"/>
    <w:rsid w:val="0F9A4F2B"/>
    <w:rsid w:val="0F9D612A"/>
    <w:rsid w:val="119E4D70"/>
    <w:rsid w:val="11F8418B"/>
    <w:rsid w:val="126770EE"/>
    <w:rsid w:val="12CA4849"/>
    <w:rsid w:val="14394345"/>
    <w:rsid w:val="15237771"/>
    <w:rsid w:val="15805A59"/>
    <w:rsid w:val="16314D89"/>
    <w:rsid w:val="18495BF7"/>
    <w:rsid w:val="19C07983"/>
    <w:rsid w:val="1AE46ACB"/>
    <w:rsid w:val="1B024A1B"/>
    <w:rsid w:val="1B5C0C67"/>
    <w:rsid w:val="1BB40A80"/>
    <w:rsid w:val="1BF3631D"/>
    <w:rsid w:val="1BFD6F6E"/>
    <w:rsid w:val="1C2D7127"/>
    <w:rsid w:val="1C2E6A77"/>
    <w:rsid w:val="1CB731E4"/>
    <w:rsid w:val="1E3113E2"/>
    <w:rsid w:val="1E4D0963"/>
    <w:rsid w:val="1E605987"/>
    <w:rsid w:val="1F210A76"/>
    <w:rsid w:val="1FBE7AE6"/>
    <w:rsid w:val="1FC057FC"/>
    <w:rsid w:val="21175F35"/>
    <w:rsid w:val="21AB01EF"/>
    <w:rsid w:val="22630CAA"/>
    <w:rsid w:val="233829C6"/>
    <w:rsid w:val="23732AFF"/>
    <w:rsid w:val="23ED1D39"/>
    <w:rsid w:val="243A5AFE"/>
    <w:rsid w:val="26403ACB"/>
    <w:rsid w:val="2741305A"/>
    <w:rsid w:val="275B2D9A"/>
    <w:rsid w:val="27603A4B"/>
    <w:rsid w:val="291B1EA3"/>
    <w:rsid w:val="291E49C7"/>
    <w:rsid w:val="298E0913"/>
    <w:rsid w:val="299163CC"/>
    <w:rsid w:val="2A757BFB"/>
    <w:rsid w:val="2B004385"/>
    <w:rsid w:val="2DA5067C"/>
    <w:rsid w:val="2FDF2A12"/>
    <w:rsid w:val="3093708C"/>
    <w:rsid w:val="31402658"/>
    <w:rsid w:val="31C65BC7"/>
    <w:rsid w:val="32322E11"/>
    <w:rsid w:val="329F6749"/>
    <w:rsid w:val="33EE12BB"/>
    <w:rsid w:val="340B210F"/>
    <w:rsid w:val="34957536"/>
    <w:rsid w:val="351D35F8"/>
    <w:rsid w:val="363101D6"/>
    <w:rsid w:val="364C1B8D"/>
    <w:rsid w:val="366D348B"/>
    <w:rsid w:val="37432806"/>
    <w:rsid w:val="37AA6FA2"/>
    <w:rsid w:val="38E946AA"/>
    <w:rsid w:val="397B5939"/>
    <w:rsid w:val="39F81B43"/>
    <w:rsid w:val="3B51775E"/>
    <w:rsid w:val="3B535F21"/>
    <w:rsid w:val="3C480885"/>
    <w:rsid w:val="3C5A30AC"/>
    <w:rsid w:val="3DB84FEA"/>
    <w:rsid w:val="3E8339FD"/>
    <w:rsid w:val="3EE47D6A"/>
    <w:rsid w:val="3FBE46A3"/>
    <w:rsid w:val="41110515"/>
    <w:rsid w:val="415264CF"/>
    <w:rsid w:val="424F2DF4"/>
    <w:rsid w:val="43106C8B"/>
    <w:rsid w:val="437434F5"/>
    <w:rsid w:val="454F64FA"/>
    <w:rsid w:val="457928D9"/>
    <w:rsid w:val="4643595E"/>
    <w:rsid w:val="46A368AE"/>
    <w:rsid w:val="46DF0FCB"/>
    <w:rsid w:val="4710249D"/>
    <w:rsid w:val="4A9A1C7D"/>
    <w:rsid w:val="4C141DB8"/>
    <w:rsid w:val="4CEE15F2"/>
    <w:rsid w:val="4D480E0A"/>
    <w:rsid w:val="4D644AB2"/>
    <w:rsid w:val="4DE6622B"/>
    <w:rsid w:val="4EE94FAC"/>
    <w:rsid w:val="4F354E16"/>
    <w:rsid w:val="4F685674"/>
    <w:rsid w:val="4F9D79EE"/>
    <w:rsid w:val="4FDE4331"/>
    <w:rsid w:val="50066510"/>
    <w:rsid w:val="500C6D65"/>
    <w:rsid w:val="50512CC5"/>
    <w:rsid w:val="50C13896"/>
    <w:rsid w:val="51164CB9"/>
    <w:rsid w:val="5143009C"/>
    <w:rsid w:val="51845020"/>
    <w:rsid w:val="51E538D3"/>
    <w:rsid w:val="525B7BCC"/>
    <w:rsid w:val="53D74583"/>
    <w:rsid w:val="54542012"/>
    <w:rsid w:val="549678CE"/>
    <w:rsid w:val="556A5D20"/>
    <w:rsid w:val="56872623"/>
    <w:rsid w:val="576B0D95"/>
    <w:rsid w:val="578C66C8"/>
    <w:rsid w:val="57B55B25"/>
    <w:rsid w:val="58037E25"/>
    <w:rsid w:val="5813581A"/>
    <w:rsid w:val="581C2E83"/>
    <w:rsid w:val="582D1051"/>
    <w:rsid w:val="58CD17F8"/>
    <w:rsid w:val="59C81D3E"/>
    <w:rsid w:val="5A333032"/>
    <w:rsid w:val="5A492286"/>
    <w:rsid w:val="5A501FCE"/>
    <w:rsid w:val="5A6B6CA0"/>
    <w:rsid w:val="5A8008FB"/>
    <w:rsid w:val="5B871DD5"/>
    <w:rsid w:val="5C267400"/>
    <w:rsid w:val="5C86411D"/>
    <w:rsid w:val="5C902F0B"/>
    <w:rsid w:val="5EFC2BC8"/>
    <w:rsid w:val="5F0520AC"/>
    <w:rsid w:val="5F9D0EFD"/>
    <w:rsid w:val="603E7C4E"/>
    <w:rsid w:val="611D0E41"/>
    <w:rsid w:val="61691F57"/>
    <w:rsid w:val="619D39D4"/>
    <w:rsid w:val="620A4DEB"/>
    <w:rsid w:val="6210670D"/>
    <w:rsid w:val="629731C5"/>
    <w:rsid w:val="6386718D"/>
    <w:rsid w:val="63B30E2C"/>
    <w:rsid w:val="64683823"/>
    <w:rsid w:val="65167D25"/>
    <w:rsid w:val="657D2C91"/>
    <w:rsid w:val="660240E6"/>
    <w:rsid w:val="664B4791"/>
    <w:rsid w:val="66AC53A2"/>
    <w:rsid w:val="66E21E26"/>
    <w:rsid w:val="67737040"/>
    <w:rsid w:val="67EC1211"/>
    <w:rsid w:val="68356113"/>
    <w:rsid w:val="687E4B17"/>
    <w:rsid w:val="69006A46"/>
    <w:rsid w:val="6A15736F"/>
    <w:rsid w:val="6A344B7D"/>
    <w:rsid w:val="6A745E5E"/>
    <w:rsid w:val="6AFF4BD4"/>
    <w:rsid w:val="6C8B591B"/>
    <w:rsid w:val="6D2710D7"/>
    <w:rsid w:val="6D475D9B"/>
    <w:rsid w:val="6E092C81"/>
    <w:rsid w:val="6EBC340F"/>
    <w:rsid w:val="6EEB5F6B"/>
    <w:rsid w:val="708B18C8"/>
    <w:rsid w:val="70F064DD"/>
    <w:rsid w:val="72437864"/>
    <w:rsid w:val="7252668D"/>
    <w:rsid w:val="734B1951"/>
    <w:rsid w:val="73723339"/>
    <w:rsid w:val="738557A7"/>
    <w:rsid w:val="742D1ABF"/>
    <w:rsid w:val="74FA7975"/>
    <w:rsid w:val="75196038"/>
    <w:rsid w:val="752847CF"/>
    <w:rsid w:val="7783337E"/>
    <w:rsid w:val="77C609EE"/>
    <w:rsid w:val="78235859"/>
    <w:rsid w:val="78AC1E6C"/>
    <w:rsid w:val="792D0B89"/>
    <w:rsid w:val="79D31246"/>
    <w:rsid w:val="7A7606BC"/>
    <w:rsid w:val="7CB32E10"/>
    <w:rsid w:val="7E360465"/>
    <w:rsid w:val="7E3D27BD"/>
    <w:rsid w:val="7E4A02AD"/>
    <w:rsid w:val="7E6774D4"/>
    <w:rsid w:val="7E7F42E8"/>
    <w:rsid w:val="7ED97030"/>
    <w:rsid w:val="7EF81A4C"/>
    <w:rsid w:val="7FAD23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uiPriority="0" w:name="annotation text" w:locked="1"/>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ocked="1"/>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uiPriority="0" w:name="annotation reference" w:locked="1"/>
    <w:lsdException w:uiPriority="0" w:name="line number" w:locked="1"/>
    <w:lsdException w:qFormat="1" w:unhideWhenUsed="0" w:uiPriority="0"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qFormat="1" w:unhideWhenUsed="0" w:uiPriority="99" w:semiHidden="0" w:name="Body Text 3"/>
    <w:lsdException w:qFormat="1" w:unhideWhenUsed="0" w:uiPriority="0" w:semiHidden="0" w:name="Body Text Indent 2" w:locked="1"/>
    <w:lsdException w:qFormat="1" w:unhideWhenUsed="0" w:uiPriority="99" w:semiHidden="0" w:name="Body Text Indent 3"/>
    <w:lsdException w:uiPriority="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4"/>
    <w:autoRedefine/>
    <w:qFormat/>
    <w:uiPriority w:val="0"/>
    <w:pPr>
      <w:keepNext/>
      <w:keepLines/>
      <w:snapToGrid w:val="0"/>
      <w:spacing w:beforeLines="200" w:afterLines="100" w:line="324" w:lineRule="auto"/>
      <w:jc w:val="center"/>
      <w:outlineLvl w:val="0"/>
    </w:pPr>
    <w:rPr>
      <w:rFonts w:ascii="黑体" w:eastAsia="黑体"/>
      <w:b/>
      <w:kern w:val="44"/>
      <w:sz w:val="28"/>
      <w:szCs w:val="20"/>
    </w:rPr>
  </w:style>
  <w:style w:type="paragraph" w:styleId="3">
    <w:name w:val="heading 2"/>
    <w:basedOn w:val="1"/>
    <w:next w:val="1"/>
    <w:link w:val="85"/>
    <w:autoRedefine/>
    <w:qFormat/>
    <w:uiPriority w:val="0"/>
    <w:pPr>
      <w:keepNext/>
      <w:keepLines/>
      <w:spacing w:before="240" w:after="120" w:line="480" w:lineRule="auto"/>
      <w:jc w:val="center"/>
      <w:outlineLvl w:val="1"/>
    </w:pPr>
    <w:rPr>
      <w:rFonts w:ascii="Arial" w:hAnsi="Arial" w:eastAsia="黑体"/>
      <w:b/>
      <w:sz w:val="24"/>
      <w:szCs w:val="20"/>
    </w:rPr>
  </w:style>
  <w:style w:type="paragraph" w:styleId="4">
    <w:name w:val="heading 3"/>
    <w:basedOn w:val="1"/>
    <w:next w:val="1"/>
    <w:link w:val="86"/>
    <w:autoRedefine/>
    <w:qFormat/>
    <w:uiPriority w:val="99"/>
    <w:pPr>
      <w:keepNext/>
      <w:keepLines/>
      <w:snapToGrid w:val="0"/>
      <w:spacing w:before="180" w:line="324" w:lineRule="auto"/>
      <w:outlineLvl w:val="2"/>
    </w:pPr>
    <w:rPr>
      <w:b/>
      <w:bCs/>
      <w:kern w:val="0"/>
      <w:sz w:val="32"/>
      <w:szCs w:val="32"/>
    </w:rPr>
  </w:style>
  <w:style w:type="paragraph" w:styleId="5">
    <w:name w:val="heading 4"/>
    <w:basedOn w:val="1"/>
    <w:next w:val="1"/>
    <w:link w:val="87"/>
    <w:autoRedefine/>
    <w:qFormat/>
    <w:uiPriority w:val="99"/>
    <w:pPr>
      <w:keepNext/>
      <w:keepLines/>
      <w:spacing w:before="280" w:after="290" w:line="374" w:lineRule="auto"/>
      <w:outlineLvl w:val="3"/>
    </w:pPr>
    <w:rPr>
      <w:rFonts w:ascii="Cambria" w:hAnsi="Cambria"/>
      <w:b/>
      <w:bCs/>
      <w:kern w:val="0"/>
      <w:sz w:val="28"/>
      <w:szCs w:val="28"/>
    </w:rPr>
  </w:style>
  <w:style w:type="paragraph" w:styleId="6">
    <w:name w:val="heading 6"/>
    <w:basedOn w:val="1"/>
    <w:next w:val="1"/>
    <w:link w:val="88"/>
    <w:autoRedefine/>
    <w:qFormat/>
    <w:uiPriority w:val="99"/>
    <w:pPr>
      <w:keepNext/>
      <w:keepLines/>
      <w:widowControl/>
      <w:tabs>
        <w:tab w:val="left" w:pos="1440"/>
      </w:tabs>
      <w:spacing w:before="240" w:after="64" w:line="319" w:lineRule="auto"/>
      <w:ind w:left="1152" w:hanging="1152"/>
      <w:jc w:val="left"/>
      <w:outlineLvl w:val="5"/>
    </w:pPr>
    <w:rPr>
      <w:rFonts w:ascii="Cambria" w:hAnsi="Cambria"/>
      <w:b/>
      <w:bCs/>
      <w:kern w:val="0"/>
      <w:sz w:val="24"/>
    </w:rPr>
  </w:style>
  <w:style w:type="paragraph" w:styleId="7">
    <w:name w:val="heading 7"/>
    <w:basedOn w:val="1"/>
    <w:next w:val="1"/>
    <w:link w:val="89"/>
    <w:autoRedefine/>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1"/>
    <w:next w:val="1"/>
    <w:link w:val="90"/>
    <w:autoRedefine/>
    <w:qFormat/>
    <w:uiPriority w:val="99"/>
    <w:pPr>
      <w:keepNext/>
      <w:keepLines/>
      <w:widowControl/>
      <w:tabs>
        <w:tab w:val="left" w:pos="1440"/>
      </w:tabs>
      <w:spacing w:before="240" w:after="64" w:line="319" w:lineRule="auto"/>
      <w:ind w:left="1440" w:hanging="1440"/>
      <w:jc w:val="left"/>
      <w:outlineLvl w:val="7"/>
    </w:pPr>
    <w:rPr>
      <w:rFonts w:ascii="Cambria" w:hAnsi="Cambria"/>
      <w:kern w:val="0"/>
      <w:sz w:val="24"/>
    </w:rPr>
  </w:style>
  <w:style w:type="paragraph" w:styleId="9">
    <w:name w:val="heading 9"/>
    <w:basedOn w:val="1"/>
    <w:next w:val="1"/>
    <w:link w:val="91"/>
    <w:autoRedefine/>
    <w:qFormat/>
    <w:uiPriority w:val="99"/>
    <w:pPr>
      <w:keepNext/>
      <w:keepLines/>
      <w:widowControl/>
      <w:tabs>
        <w:tab w:val="left" w:pos="1584"/>
      </w:tabs>
      <w:spacing w:before="240" w:after="64" w:line="319" w:lineRule="auto"/>
      <w:ind w:left="1584" w:hanging="1584"/>
      <w:jc w:val="left"/>
      <w:outlineLvl w:val="8"/>
    </w:pPr>
    <w:rPr>
      <w:rFonts w:ascii="Cambria" w:hAnsi="Cambria"/>
      <w:kern w:val="0"/>
      <w:szCs w:val="21"/>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10">
    <w:name w:val="toc 7"/>
    <w:basedOn w:val="1"/>
    <w:next w:val="1"/>
    <w:autoRedefine/>
    <w:qFormat/>
    <w:uiPriority w:val="39"/>
    <w:pPr>
      <w:ind w:left="2520" w:leftChars="1200"/>
    </w:pPr>
  </w:style>
  <w:style w:type="paragraph" w:styleId="11">
    <w:name w:val="Normal Indent"/>
    <w:basedOn w:val="1"/>
    <w:autoRedefine/>
    <w:qFormat/>
    <w:uiPriority w:val="99"/>
    <w:pPr>
      <w:ind w:firstLine="420" w:firstLineChars="200"/>
    </w:pPr>
  </w:style>
  <w:style w:type="paragraph" w:styleId="12">
    <w:name w:val="Document Map"/>
    <w:basedOn w:val="1"/>
    <w:link w:val="92"/>
    <w:autoRedefine/>
    <w:qFormat/>
    <w:uiPriority w:val="99"/>
    <w:pPr>
      <w:shd w:val="clear" w:color="auto" w:fill="000080"/>
    </w:pPr>
    <w:rPr>
      <w:kern w:val="0"/>
      <w:sz w:val="2"/>
      <w:szCs w:val="20"/>
    </w:rPr>
  </w:style>
  <w:style w:type="paragraph" w:styleId="13">
    <w:name w:val="Body Text 3"/>
    <w:basedOn w:val="1"/>
    <w:link w:val="93"/>
    <w:autoRedefine/>
    <w:qFormat/>
    <w:uiPriority w:val="99"/>
    <w:rPr>
      <w:kern w:val="0"/>
      <w:sz w:val="16"/>
      <w:szCs w:val="16"/>
    </w:rPr>
  </w:style>
  <w:style w:type="paragraph" w:styleId="14">
    <w:name w:val="Body Text"/>
    <w:basedOn w:val="1"/>
    <w:link w:val="94"/>
    <w:autoRedefine/>
    <w:qFormat/>
    <w:uiPriority w:val="99"/>
    <w:pPr>
      <w:spacing w:after="120"/>
    </w:pPr>
    <w:rPr>
      <w:kern w:val="0"/>
      <w:sz w:val="24"/>
    </w:rPr>
  </w:style>
  <w:style w:type="paragraph" w:styleId="15">
    <w:name w:val="Body Text Indent"/>
    <w:basedOn w:val="1"/>
    <w:link w:val="95"/>
    <w:autoRedefine/>
    <w:qFormat/>
    <w:uiPriority w:val="99"/>
    <w:pPr>
      <w:spacing w:after="120"/>
      <w:ind w:left="420" w:leftChars="200"/>
    </w:pPr>
    <w:rPr>
      <w:kern w:val="0"/>
      <w:sz w:val="24"/>
    </w:rPr>
  </w:style>
  <w:style w:type="paragraph" w:styleId="16">
    <w:name w:val="toc 5"/>
    <w:basedOn w:val="1"/>
    <w:next w:val="1"/>
    <w:autoRedefine/>
    <w:qFormat/>
    <w:uiPriority w:val="39"/>
    <w:pPr>
      <w:ind w:left="1680" w:leftChars="800"/>
    </w:pPr>
  </w:style>
  <w:style w:type="paragraph" w:styleId="17">
    <w:name w:val="toc 3"/>
    <w:basedOn w:val="1"/>
    <w:next w:val="1"/>
    <w:autoRedefine/>
    <w:qFormat/>
    <w:uiPriority w:val="39"/>
    <w:pPr>
      <w:ind w:left="840" w:leftChars="400"/>
    </w:pPr>
  </w:style>
  <w:style w:type="paragraph" w:styleId="18">
    <w:name w:val="Plain Text"/>
    <w:basedOn w:val="1"/>
    <w:link w:val="96"/>
    <w:autoRedefine/>
    <w:qFormat/>
    <w:uiPriority w:val="99"/>
    <w:rPr>
      <w:rFonts w:ascii="宋体" w:hAnsi="Courier New"/>
      <w:kern w:val="0"/>
      <w:szCs w:val="21"/>
    </w:rPr>
  </w:style>
  <w:style w:type="paragraph" w:styleId="19">
    <w:name w:val="toc 8"/>
    <w:basedOn w:val="1"/>
    <w:next w:val="1"/>
    <w:autoRedefine/>
    <w:qFormat/>
    <w:uiPriority w:val="0"/>
    <w:pPr>
      <w:ind w:left="2940" w:leftChars="1400"/>
    </w:pPr>
  </w:style>
  <w:style w:type="paragraph" w:styleId="20">
    <w:name w:val="Date"/>
    <w:basedOn w:val="1"/>
    <w:next w:val="1"/>
    <w:link w:val="97"/>
    <w:autoRedefine/>
    <w:qFormat/>
    <w:uiPriority w:val="99"/>
    <w:pPr>
      <w:ind w:left="100" w:leftChars="2500"/>
    </w:pPr>
    <w:rPr>
      <w:kern w:val="0"/>
      <w:sz w:val="24"/>
    </w:rPr>
  </w:style>
  <w:style w:type="paragraph" w:styleId="21">
    <w:name w:val="Body Text Indent 2"/>
    <w:basedOn w:val="1"/>
    <w:autoRedefine/>
    <w:qFormat/>
    <w:locked/>
    <w:uiPriority w:val="0"/>
    <w:pPr>
      <w:spacing w:after="120" w:line="480" w:lineRule="auto"/>
      <w:ind w:left="420" w:leftChars="200"/>
    </w:pPr>
  </w:style>
  <w:style w:type="paragraph" w:styleId="22">
    <w:name w:val="Balloon Text"/>
    <w:basedOn w:val="1"/>
    <w:link w:val="98"/>
    <w:autoRedefine/>
    <w:qFormat/>
    <w:uiPriority w:val="99"/>
    <w:rPr>
      <w:sz w:val="18"/>
      <w:szCs w:val="20"/>
    </w:rPr>
  </w:style>
  <w:style w:type="paragraph" w:styleId="23">
    <w:name w:val="footer"/>
    <w:basedOn w:val="1"/>
    <w:link w:val="99"/>
    <w:autoRedefine/>
    <w:qFormat/>
    <w:uiPriority w:val="0"/>
    <w:pPr>
      <w:tabs>
        <w:tab w:val="center" w:pos="4153"/>
        <w:tab w:val="right" w:pos="8306"/>
      </w:tabs>
      <w:snapToGrid w:val="0"/>
      <w:jc w:val="left"/>
    </w:pPr>
    <w:rPr>
      <w:kern w:val="0"/>
      <w:sz w:val="18"/>
      <w:szCs w:val="18"/>
    </w:rPr>
  </w:style>
  <w:style w:type="paragraph" w:styleId="24">
    <w:name w:val="header"/>
    <w:basedOn w:val="1"/>
    <w:link w:val="100"/>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autoRedefine/>
    <w:qFormat/>
    <w:uiPriority w:val="39"/>
    <w:pPr>
      <w:tabs>
        <w:tab w:val="right" w:leader="dot" w:pos="9016"/>
      </w:tabs>
      <w:snapToGrid w:val="0"/>
      <w:spacing w:line="300" w:lineRule="auto"/>
    </w:pPr>
    <w:rPr>
      <w:rFonts w:eastAsia="黑体"/>
      <w:sz w:val="24"/>
    </w:rPr>
  </w:style>
  <w:style w:type="paragraph" w:styleId="26">
    <w:name w:val="toc 4"/>
    <w:basedOn w:val="1"/>
    <w:next w:val="1"/>
    <w:autoRedefine/>
    <w:qFormat/>
    <w:uiPriority w:val="39"/>
    <w:pPr>
      <w:ind w:left="1260" w:leftChars="600"/>
    </w:pPr>
  </w:style>
  <w:style w:type="paragraph" w:styleId="27">
    <w:name w:val="index heading"/>
    <w:basedOn w:val="1"/>
    <w:next w:val="28"/>
    <w:autoRedefine/>
    <w:qFormat/>
    <w:uiPriority w:val="0"/>
  </w:style>
  <w:style w:type="paragraph" w:styleId="28">
    <w:name w:val="index 1"/>
    <w:basedOn w:val="1"/>
    <w:next w:val="1"/>
    <w:autoRedefine/>
    <w:qFormat/>
    <w:uiPriority w:val="99"/>
  </w:style>
  <w:style w:type="paragraph" w:styleId="29">
    <w:name w:val="footnote text"/>
    <w:basedOn w:val="1"/>
    <w:link w:val="101"/>
    <w:autoRedefine/>
    <w:qFormat/>
    <w:uiPriority w:val="99"/>
    <w:pPr>
      <w:snapToGrid w:val="0"/>
      <w:jc w:val="left"/>
    </w:pPr>
    <w:rPr>
      <w:kern w:val="0"/>
      <w:sz w:val="18"/>
      <w:szCs w:val="18"/>
    </w:rPr>
  </w:style>
  <w:style w:type="paragraph" w:styleId="30">
    <w:name w:val="toc 6"/>
    <w:basedOn w:val="1"/>
    <w:next w:val="1"/>
    <w:autoRedefine/>
    <w:qFormat/>
    <w:uiPriority w:val="39"/>
    <w:pPr>
      <w:ind w:left="2100" w:leftChars="1000"/>
    </w:pPr>
  </w:style>
  <w:style w:type="paragraph" w:styleId="31">
    <w:name w:val="Body Text Indent 3"/>
    <w:basedOn w:val="1"/>
    <w:link w:val="102"/>
    <w:autoRedefine/>
    <w:qFormat/>
    <w:uiPriority w:val="99"/>
    <w:pPr>
      <w:spacing w:after="120"/>
      <w:ind w:left="420" w:leftChars="200"/>
    </w:pPr>
    <w:rPr>
      <w:kern w:val="0"/>
      <w:sz w:val="16"/>
      <w:szCs w:val="16"/>
    </w:rPr>
  </w:style>
  <w:style w:type="paragraph" w:styleId="32">
    <w:name w:val="toc 2"/>
    <w:basedOn w:val="1"/>
    <w:next w:val="1"/>
    <w:autoRedefine/>
    <w:qFormat/>
    <w:uiPriority w:val="39"/>
    <w:pPr>
      <w:ind w:left="420" w:leftChars="200"/>
    </w:pPr>
  </w:style>
  <w:style w:type="paragraph" w:styleId="33">
    <w:name w:val="toc 9"/>
    <w:basedOn w:val="1"/>
    <w:next w:val="1"/>
    <w:autoRedefine/>
    <w:qFormat/>
    <w:uiPriority w:val="39"/>
    <w:pPr>
      <w:ind w:left="3360" w:leftChars="1600"/>
    </w:pPr>
  </w:style>
  <w:style w:type="paragraph" w:styleId="3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35">
    <w:name w:val="Title"/>
    <w:basedOn w:val="1"/>
    <w:link w:val="103"/>
    <w:autoRedefine/>
    <w:qFormat/>
    <w:uiPriority w:val="99"/>
    <w:pPr>
      <w:adjustRightInd w:val="0"/>
      <w:spacing w:before="240" w:after="60" w:line="420" w:lineRule="atLeast"/>
      <w:jc w:val="center"/>
      <w:textAlignment w:val="baseline"/>
      <w:outlineLvl w:val="0"/>
    </w:pPr>
    <w:rPr>
      <w:rFonts w:ascii="Cambria" w:hAnsi="Cambria"/>
      <w:b/>
      <w:bCs/>
      <w:kern w:val="0"/>
      <w:sz w:val="32"/>
      <w:szCs w:val="32"/>
    </w:rPr>
  </w:style>
  <w:style w:type="table" w:styleId="37">
    <w:name w:val="Table Grid"/>
    <w:basedOn w:val="3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autoRedefine/>
    <w:qFormat/>
    <w:locked/>
    <w:uiPriority w:val="22"/>
    <w:rPr>
      <w:b/>
      <w:bCs/>
    </w:rPr>
  </w:style>
  <w:style w:type="character" w:styleId="40">
    <w:name w:val="page number"/>
    <w:autoRedefine/>
    <w:qFormat/>
    <w:uiPriority w:val="0"/>
    <w:rPr>
      <w:rFonts w:cs="Times New Roman"/>
    </w:rPr>
  </w:style>
  <w:style w:type="character" w:styleId="41">
    <w:name w:val="FollowedHyperlink"/>
    <w:autoRedefine/>
    <w:qFormat/>
    <w:uiPriority w:val="99"/>
    <w:rPr>
      <w:rFonts w:cs="Times New Roman"/>
      <w:color w:val="800080"/>
      <w:u w:val="single"/>
    </w:rPr>
  </w:style>
  <w:style w:type="character" w:styleId="42">
    <w:name w:val="Hyperlink"/>
    <w:autoRedefine/>
    <w:qFormat/>
    <w:uiPriority w:val="99"/>
    <w:rPr>
      <w:rFonts w:cs="Times New Roman"/>
      <w:color w:val="0000FF"/>
      <w:u w:val="single"/>
    </w:rPr>
  </w:style>
  <w:style w:type="character" w:styleId="43">
    <w:name w:val="footnote reference"/>
    <w:autoRedefine/>
    <w:qFormat/>
    <w:uiPriority w:val="0"/>
    <w:rPr>
      <w:rFonts w:cs="Times New Roman"/>
      <w:vertAlign w:val="superscript"/>
    </w:rPr>
  </w:style>
  <w:style w:type="paragraph" w:customStyle="1" w:styleId="44">
    <w:name w:val="Char"/>
    <w:basedOn w:val="1"/>
    <w:autoRedefine/>
    <w:qFormat/>
    <w:uiPriority w:val="0"/>
    <w:pPr>
      <w:spacing w:before="100" w:beforeAutospacing="1" w:after="100" w:afterAutospacing="1"/>
    </w:pPr>
    <w:rPr>
      <w:szCs w:val="20"/>
    </w:rPr>
  </w:style>
  <w:style w:type="paragraph" w:customStyle="1" w:styleId="45">
    <w:name w:val="样式 标题 3 + (中文) 黑体 小四 非加粗 段前: 7.8 磅 段后: 0 磅 行距: 固定值 20 磅"/>
    <w:basedOn w:val="4"/>
    <w:autoRedefine/>
    <w:qFormat/>
    <w:uiPriority w:val="0"/>
    <w:pPr>
      <w:snapToGrid/>
      <w:spacing w:before="0" w:line="400" w:lineRule="exact"/>
    </w:pPr>
    <w:rPr>
      <w:rFonts w:cs="宋体"/>
      <w:bCs w:val="0"/>
      <w:szCs w:val="20"/>
    </w:rPr>
  </w:style>
  <w:style w:type="paragraph" w:customStyle="1" w:styleId="46">
    <w:name w:val="样式 标题 2 + Times New Roman 四号 非加粗 段前: 5 磅 段后: 0 磅 行距: 固定值 20..."/>
    <w:basedOn w:val="3"/>
    <w:autoRedefine/>
    <w:qFormat/>
    <w:uiPriority w:val="0"/>
    <w:pPr>
      <w:spacing w:before="100" w:after="0" w:line="400" w:lineRule="exact"/>
      <w:jc w:val="both"/>
    </w:pPr>
    <w:rPr>
      <w:rFonts w:ascii="Times New Roman" w:hAnsi="Times New Roman" w:cs="宋体"/>
      <w:b w:val="0"/>
      <w:sz w:val="28"/>
    </w:rPr>
  </w:style>
  <w:style w:type="paragraph" w:customStyle="1" w:styleId="47">
    <w:name w:val="样式3"/>
    <w:basedOn w:val="1"/>
    <w:next w:val="1"/>
    <w:autoRedefine/>
    <w:qFormat/>
    <w:uiPriority w:val="0"/>
    <w:pPr>
      <w:snapToGrid w:val="0"/>
      <w:spacing w:before="240" w:after="120" w:line="324" w:lineRule="auto"/>
    </w:pPr>
    <w:rPr>
      <w:rFonts w:eastAsia="黑体" w:cs="宋体"/>
      <w:b/>
      <w:bCs/>
      <w:sz w:val="28"/>
      <w:szCs w:val="20"/>
    </w:rPr>
  </w:style>
  <w:style w:type="paragraph" w:customStyle="1" w:styleId="48">
    <w:name w:val="Char Char Char1 Char"/>
    <w:basedOn w:val="1"/>
    <w:autoRedefine/>
    <w:qFormat/>
    <w:uiPriority w:val="0"/>
    <w:pPr>
      <w:widowControl/>
      <w:spacing w:after="160" w:line="240" w:lineRule="exact"/>
      <w:jc w:val="left"/>
    </w:pPr>
    <w:rPr>
      <w:szCs w:val="20"/>
    </w:rPr>
  </w:style>
  <w:style w:type="paragraph" w:customStyle="1" w:styleId="49">
    <w:name w:val="Char1"/>
    <w:basedOn w:val="1"/>
    <w:autoRedefine/>
    <w:qFormat/>
    <w:uiPriority w:val="0"/>
    <w:rPr>
      <w:sz w:val="24"/>
    </w:rPr>
  </w:style>
  <w:style w:type="paragraph" w:customStyle="1" w:styleId="50">
    <w:name w:val="标题2"/>
    <w:basedOn w:val="3"/>
    <w:autoRedefine/>
    <w:qFormat/>
    <w:uiPriority w:val="0"/>
    <w:pPr>
      <w:snapToGrid w:val="0"/>
      <w:spacing w:line="324" w:lineRule="auto"/>
      <w:jc w:val="both"/>
    </w:pPr>
    <w:rPr>
      <w:sz w:val="28"/>
    </w:rPr>
  </w:style>
  <w:style w:type="paragraph" w:customStyle="1" w:styleId="51">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3">
    <w:name w:val="表格文字"/>
    <w:basedOn w:val="1"/>
    <w:autoRedefine/>
    <w:qFormat/>
    <w:uiPriority w:val="0"/>
    <w:pPr>
      <w:adjustRightInd w:val="0"/>
      <w:spacing w:line="420" w:lineRule="atLeast"/>
      <w:jc w:val="left"/>
      <w:textAlignment w:val="baseline"/>
    </w:pPr>
    <w:rPr>
      <w:kern w:val="0"/>
      <w:szCs w:val="20"/>
    </w:rPr>
  </w:style>
  <w:style w:type="paragraph" w:customStyle="1" w:styleId="54">
    <w:name w:val="_Style 31"/>
    <w:basedOn w:val="1"/>
    <w:autoRedefine/>
    <w:qFormat/>
    <w:uiPriority w:val="0"/>
  </w:style>
  <w:style w:type="paragraph" w:customStyle="1" w:styleId="55">
    <w:name w:val="表格"/>
    <w:basedOn w:val="1"/>
    <w:autoRedefine/>
    <w:qFormat/>
    <w:uiPriority w:val="0"/>
    <w:pPr>
      <w:jc w:val="center"/>
      <w:textAlignment w:val="center"/>
    </w:pPr>
    <w:rPr>
      <w:rFonts w:ascii="华文细黑" w:hAnsi="华文细黑"/>
      <w:kern w:val="0"/>
      <w:szCs w:val="20"/>
    </w:rPr>
  </w:style>
  <w:style w:type="paragraph" w:customStyle="1" w:styleId="56">
    <w:name w:val="样式 标题 1 + 黑体 三号 非加粗 居中 段前: 6 磅 段后: 6 磅 行距: 固定值 20 磅"/>
    <w:basedOn w:val="2"/>
    <w:autoRedefine/>
    <w:qFormat/>
    <w:uiPriority w:val="0"/>
    <w:pPr>
      <w:snapToGrid/>
      <w:spacing w:beforeLines="0" w:afterLines="0" w:line="400" w:lineRule="exact"/>
    </w:pPr>
    <w:rPr>
      <w:rFonts w:hAnsi="黑体" w:cs="宋体"/>
      <w:b w:val="0"/>
      <w:sz w:val="32"/>
    </w:rPr>
  </w:style>
  <w:style w:type="paragraph" w:customStyle="1" w:styleId="57">
    <w:name w:val="1"/>
    <w:basedOn w:val="1"/>
    <w:next w:val="1"/>
    <w:autoRedefine/>
    <w:qFormat/>
    <w:uiPriority w:val="0"/>
  </w:style>
  <w:style w:type="paragraph" w:customStyle="1" w:styleId="58">
    <w:name w:val="样式1"/>
    <w:basedOn w:val="1"/>
    <w:next w:val="5"/>
    <w:autoRedefine/>
    <w:qFormat/>
    <w:uiPriority w:val="0"/>
    <w:pPr>
      <w:spacing w:line="360" w:lineRule="auto"/>
      <w:ind w:firstLine="420" w:firstLineChars="200"/>
    </w:pPr>
    <w:rPr>
      <w:rFonts w:ascii="宋体" w:hAnsi="宋体"/>
      <w:szCs w:val="21"/>
    </w:rPr>
  </w:style>
  <w:style w:type="paragraph" w:customStyle="1" w:styleId="59">
    <w:name w:val="p17"/>
    <w:basedOn w:val="1"/>
    <w:autoRedefine/>
    <w:qFormat/>
    <w:uiPriority w:val="99"/>
    <w:pPr>
      <w:widowControl/>
      <w:snapToGrid w:val="0"/>
      <w:jc w:val="left"/>
    </w:pPr>
    <w:rPr>
      <w:rFonts w:ascii="宋体" w:hAnsi="宋体" w:cs="宋体"/>
      <w:color w:val="000000"/>
      <w:kern w:val="0"/>
      <w:sz w:val="24"/>
    </w:rPr>
  </w:style>
  <w:style w:type="paragraph" w:customStyle="1" w:styleId="60">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1">
    <w:name w:val="xl92"/>
    <w:basedOn w:val="1"/>
    <w:autoRedefine/>
    <w:qFormat/>
    <w:uiPriority w:val="0"/>
    <w:pPr>
      <w:widowControl/>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2">
    <w:name w:val="_Style 1"/>
    <w:basedOn w:val="1"/>
    <w:autoRedefine/>
    <w:qFormat/>
    <w:uiPriority w:val="0"/>
    <w:rPr>
      <w:sz w:val="24"/>
    </w:rPr>
  </w:style>
  <w:style w:type="paragraph" w:customStyle="1" w:styleId="63">
    <w:name w:val="font5"/>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64">
    <w:name w:val="font6"/>
    <w:basedOn w:val="1"/>
    <w:autoRedefine/>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65">
    <w:name w:val="xl68"/>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66">
    <w:name w:val="xl69"/>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67">
    <w:name w:val="xl70"/>
    <w:basedOn w:val="1"/>
    <w:autoRedefine/>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68">
    <w:name w:val="xl71"/>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69">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1">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2">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6">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77">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7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Narrow" w:hAnsi="Arial Narrow" w:cs="宋体"/>
      <w:color w:val="000000"/>
      <w:kern w:val="0"/>
      <w:sz w:val="16"/>
      <w:szCs w:val="16"/>
    </w:rPr>
  </w:style>
  <w:style w:type="paragraph" w:customStyle="1" w:styleId="79">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FFFF"/>
      <w:kern w:val="0"/>
      <w:sz w:val="20"/>
      <w:szCs w:val="20"/>
    </w:rPr>
  </w:style>
  <w:style w:type="paragraph" w:customStyle="1" w:styleId="81">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2">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3">
    <w:name w:val="Table Paragraph"/>
    <w:basedOn w:val="1"/>
    <w:autoRedefine/>
    <w:qFormat/>
    <w:uiPriority w:val="1"/>
    <w:rPr>
      <w:rFonts w:ascii="宋体" w:hAnsi="宋体" w:cs="宋体"/>
      <w:lang w:val="zh-CN" w:bidi="zh-CN"/>
    </w:rPr>
  </w:style>
  <w:style w:type="character" w:customStyle="1" w:styleId="84">
    <w:name w:val="标题 1 Char"/>
    <w:link w:val="2"/>
    <w:autoRedefine/>
    <w:qFormat/>
    <w:locked/>
    <w:uiPriority w:val="0"/>
    <w:rPr>
      <w:rFonts w:ascii="黑体" w:eastAsia="黑体" w:cs="Times New Roman"/>
      <w:b/>
      <w:kern w:val="44"/>
      <w:sz w:val="28"/>
    </w:rPr>
  </w:style>
  <w:style w:type="character" w:customStyle="1" w:styleId="85">
    <w:name w:val="标题 2 Char"/>
    <w:link w:val="3"/>
    <w:autoRedefine/>
    <w:qFormat/>
    <w:locked/>
    <w:uiPriority w:val="0"/>
    <w:rPr>
      <w:rFonts w:ascii="Arial" w:hAnsi="Arial" w:eastAsia="黑体" w:cs="Times New Roman"/>
      <w:b/>
      <w:kern w:val="2"/>
      <w:sz w:val="24"/>
      <w:lang w:val="en-US" w:eastAsia="zh-CN"/>
    </w:rPr>
  </w:style>
  <w:style w:type="character" w:customStyle="1" w:styleId="86">
    <w:name w:val="标题 3 Char"/>
    <w:link w:val="4"/>
    <w:autoRedefine/>
    <w:semiHidden/>
    <w:qFormat/>
    <w:locked/>
    <w:uiPriority w:val="99"/>
    <w:rPr>
      <w:rFonts w:cs="Times New Roman"/>
      <w:b/>
      <w:bCs/>
      <w:sz w:val="32"/>
      <w:szCs w:val="32"/>
    </w:rPr>
  </w:style>
  <w:style w:type="character" w:customStyle="1" w:styleId="87">
    <w:name w:val="标题 4 Char"/>
    <w:link w:val="5"/>
    <w:autoRedefine/>
    <w:semiHidden/>
    <w:qFormat/>
    <w:locked/>
    <w:uiPriority w:val="99"/>
    <w:rPr>
      <w:rFonts w:ascii="Cambria" w:hAnsi="Cambria" w:eastAsia="宋体" w:cs="Times New Roman"/>
      <w:b/>
      <w:bCs/>
      <w:sz w:val="28"/>
      <w:szCs w:val="28"/>
    </w:rPr>
  </w:style>
  <w:style w:type="character" w:customStyle="1" w:styleId="88">
    <w:name w:val="标题 6 Char"/>
    <w:link w:val="6"/>
    <w:autoRedefine/>
    <w:semiHidden/>
    <w:qFormat/>
    <w:locked/>
    <w:uiPriority w:val="99"/>
    <w:rPr>
      <w:rFonts w:ascii="Cambria" w:hAnsi="Cambria" w:eastAsia="宋体" w:cs="Times New Roman"/>
      <w:b/>
      <w:bCs/>
      <w:sz w:val="24"/>
      <w:szCs w:val="24"/>
    </w:rPr>
  </w:style>
  <w:style w:type="character" w:customStyle="1" w:styleId="89">
    <w:name w:val="标题 7 Char"/>
    <w:link w:val="7"/>
    <w:semiHidden/>
    <w:qFormat/>
    <w:locked/>
    <w:uiPriority w:val="99"/>
    <w:rPr>
      <w:rFonts w:cs="Times New Roman"/>
      <w:b/>
      <w:bCs/>
      <w:sz w:val="24"/>
      <w:szCs w:val="24"/>
    </w:rPr>
  </w:style>
  <w:style w:type="character" w:customStyle="1" w:styleId="90">
    <w:name w:val="标题 8 Char"/>
    <w:link w:val="8"/>
    <w:autoRedefine/>
    <w:semiHidden/>
    <w:qFormat/>
    <w:locked/>
    <w:uiPriority w:val="99"/>
    <w:rPr>
      <w:rFonts w:ascii="Cambria" w:hAnsi="Cambria" w:eastAsia="宋体" w:cs="Times New Roman"/>
      <w:sz w:val="24"/>
      <w:szCs w:val="24"/>
    </w:rPr>
  </w:style>
  <w:style w:type="character" w:customStyle="1" w:styleId="91">
    <w:name w:val="标题 9 Char"/>
    <w:link w:val="9"/>
    <w:autoRedefine/>
    <w:semiHidden/>
    <w:qFormat/>
    <w:locked/>
    <w:uiPriority w:val="99"/>
    <w:rPr>
      <w:rFonts w:ascii="Cambria" w:hAnsi="Cambria" w:eastAsia="宋体" w:cs="Times New Roman"/>
      <w:sz w:val="21"/>
      <w:szCs w:val="21"/>
    </w:rPr>
  </w:style>
  <w:style w:type="character" w:customStyle="1" w:styleId="92">
    <w:name w:val="文档结构图 Char"/>
    <w:link w:val="12"/>
    <w:autoRedefine/>
    <w:semiHidden/>
    <w:qFormat/>
    <w:locked/>
    <w:uiPriority w:val="99"/>
    <w:rPr>
      <w:rFonts w:cs="Times New Roman"/>
      <w:sz w:val="2"/>
    </w:rPr>
  </w:style>
  <w:style w:type="character" w:customStyle="1" w:styleId="93">
    <w:name w:val="正文文本 3 Char"/>
    <w:link w:val="13"/>
    <w:autoRedefine/>
    <w:semiHidden/>
    <w:qFormat/>
    <w:locked/>
    <w:uiPriority w:val="99"/>
    <w:rPr>
      <w:rFonts w:cs="Times New Roman"/>
      <w:sz w:val="16"/>
      <w:szCs w:val="16"/>
    </w:rPr>
  </w:style>
  <w:style w:type="character" w:customStyle="1" w:styleId="94">
    <w:name w:val="正文文本 Char"/>
    <w:link w:val="14"/>
    <w:autoRedefine/>
    <w:semiHidden/>
    <w:qFormat/>
    <w:locked/>
    <w:uiPriority w:val="99"/>
    <w:rPr>
      <w:rFonts w:cs="Times New Roman"/>
      <w:sz w:val="24"/>
      <w:szCs w:val="24"/>
    </w:rPr>
  </w:style>
  <w:style w:type="character" w:customStyle="1" w:styleId="95">
    <w:name w:val="正文文本缩进 Char"/>
    <w:link w:val="15"/>
    <w:autoRedefine/>
    <w:semiHidden/>
    <w:qFormat/>
    <w:locked/>
    <w:uiPriority w:val="99"/>
    <w:rPr>
      <w:rFonts w:cs="Times New Roman"/>
      <w:sz w:val="24"/>
      <w:szCs w:val="24"/>
    </w:rPr>
  </w:style>
  <w:style w:type="character" w:customStyle="1" w:styleId="96">
    <w:name w:val="纯文本 Char"/>
    <w:link w:val="18"/>
    <w:autoRedefine/>
    <w:qFormat/>
    <w:locked/>
    <w:uiPriority w:val="99"/>
    <w:rPr>
      <w:rFonts w:ascii="宋体" w:hAnsi="Courier New" w:cs="Courier New"/>
      <w:sz w:val="21"/>
      <w:szCs w:val="21"/>
    </w:rPr>
  </w:style>
  <w:style w:type="character" w:customStyle="1" w:styleId="97">
    <w:name w:val="日期 Char"/>
    <w:link w:val="20"/>
    <w:autoRedefine/>
    <w:semiHidden/>
    <w:qFormat/>
    <w:locked/>
    <w:uiPriority w:val="99"/>
    <w:rPr>
      <w:rFonts w:cs="Times New Roman"/>
      <w:sz w:val="24"/>
      <w:szCs w:val="24"/>
    </w:rPr>
  </w:style>
  <w:style w:type="character" w:customStyle="1" w:styleId="98">
    <w:name w:val="批注框文本 Char"/>
    <w:link w:val="22"/>
    <w:autoRedefine/>
    <w:qFormat/>
    <w:locked/>
    <w:uiPriority w:val="99"/>
    <w:rPr>
      <w:rFonts w:cs="Times New Roman"/>
      <w:kern w:val="2"/>
      <w:sz w:val="18"/>
    </w:rPr>
  </w:style>
  <w:style w:type="character" w:customStyle="1" w:styleId="99">
    <w:name w:val="页脚 Char"/>
    <w:link w:val="23"/>
    <w:autoRedefine/>
    <w:qFormat/>
    <w:locked/>
    <w:uiPriority w:val="0"/>
    <w:rPr>
      <w:rFonts w:cs="Times New Roman"/>
      <w:sz w:val="18"/>
      <w:szCs w:val="18"/>
    </w:rPr>
  </w:style>
  <w:style w:type="character" w:customStyle="1" w:styleId="100">
    <w:name w:val="页眉 Char"/>
    <w:link w:val="24"/>
    <w:autoRedefine/>
    <w:qFormat/>
    <w:locked/>
    <w:uiPriority w:val="0"/>
    <w:rPr>
      <w:rFonts w:cs="Times New Roman"/>
      <w:sz w:val="18"/>
      <w:szCs w:val="18"/>
    </w:rPr>
  </w:style>
  <w:style w:type="character" w:customStyle="1" w:styleId="101">
    <w:name w:val="脚注文本 Char"/>
    <w:link w:val="29"/>
    <w:autoRedefine/>
    <w:semiHidden/>
    <w:qFormat/>
    <w:locked/>
    <w:uiPriority w:val="99"/>
    <w:rPr>
      <w:rFonts w:cs="Times New Roman"/>
      <w:sz w:val="18"/>
      <w:szCs w:val="18"/>
    </w:rPr>
  </w:style>
  <w:style w:type="character" w:customStyle="1" w:styleId="102">
    <w:name w:val="正文文本缩进 3 Char"/>
    <w:link w:val="31"/>
    <w:autoRedefine/>
    <w:semiHidden/>
    <w:qFormat/>
    <w:locked/>
    <w:uiPriority w:val="99"/>
    <w:rPr>
      <w:rFonts w:cs="Times New Roman"/>
      <w:sz w:val="16"/>
      <w:szCs w:val="16"/>
    </w:rPr>
  </w:style>
  <w:style w:type="character" w:customStyle="1" w:styleId="103">
    <w:name w:val="标题 Char"/>
    <w:link w:val="35"/>
    <w:autoRedefine/>
    <w:qFormat/>
    <w:locked/>
    <w:uiPriority w:val="99"/>
    <w:rPr>
      <w:rFonts w:ascii="Cambria" w:hAnsi="Cambria" w:cs="Times New Roman"/>
      <w:b/>
      <w:bCs/>
      <w:sz w:val="32"/>
      <w:szCs w:val="32"/>
    </w:rPr>
  </w:style>
  <w:style w:type="character" w:customStyle="1" w:styleId="104">
    <w:name w:val="font21"/>
    <w:autoRedefine/>
    <w:qFormat/>
    <w:uiPriority w:val="0"/>
    <w:rPr>
      <w:rFonts w:ascii="宋体" w:hAnsi="宋体" w:eastAsia="宋体"/>
      <w:b/>
      <w:color w:val="000000"/>
      <w:sz w:val="24"/>
      <w:u w:val="none"/>
    </w:rPr>
  </w:style>
  <w:style w:type="character" w:customStyle="1" w:styleId="105">
    <w:name w:val="Header Char"/>
    <w:autoRedefine/>
    <w:qFormat/>
    <w:locked/>
    <w:uiPriority w:val="99"/>
    <w:rPr>
      <w:rFonts w:eastAsia="宋体"/>
      <w:kern w:val="2"/>
      <w:sz w:val="18"/>
      <w:lang w:val="en-US" w:eastAsia="zh-CN"/>
    </w:rPr>
  </w:style>
  <w:style w:type="character" w:customStyle="1" w:styleId="106">
    <w:name w:val="font161"/>
    <w:autoRedefine/>
    <w:qFormat/>
    <w:uiPriority w:val="0"/>
    <w:rPr>
      <w:b/>
      <w:sz w:val="32"/>
    </w:rPr>
  </w:style>
  <w:style w:type="character" w:customStyle="1" w:styleId="107">
    <w:name w:val="font51"/>
    <w:autoRedefine/>
    <w:qFormat/>
    <w:uiPriority w:val="0"/>
    <w:rPr>
      <w:rFonts w:ascii="宋体" w:hAnsi="宋体" w:eastAsia="宋体"/>
      <w:b/>
      <w:color w:val="000000"/>
      <w:sz w:val="20"/>
      <w:u w:val="single"/>
    </w:rPr>
  </w:style>
  <w:style w:type="character" w:customStyle="1" w:styleId="108">
    <w:name w:val="Plain Text Char"/>
    <w:autoRedefine/>
    <w:qFormat/>
    <w:locked/>
    <w:uiPriority w:val="99"/>
    <w:rPr>
      <w:rFonts w:ascii="宋体" w:hAnsi="Courier New"/>
      <w:kern w:val="2"/>
      <w:sz w:val="21"/>
    </w:rPr>
  </w:style>
  <w:style w:type="character" w:customStyle="1" w:styleId="109">
    <w:name w:val="font11"/>
    <w:autoRedefine/>
    <w:qFormat/>
    <w:uiPriority w:val="0"/>
    <w:rPr>
      <w:rFonts w:ascii="Times New Roman" w:hAnsi="Times New Roman"/>
      <w:b/>
      <w:color w:val="000000"/>
      <w:sz w:val="24"/>
      <w:u w:val="none"/>
    </w:rPr>
  </w:style>
  <w:style w:type="character" w:customStyle="1" w:styleId="110">
    <w:name w:val="font41"/>
    <w:autoRedefine/>
    <w:qFormat/>
    <w:uiPriority w:val="0"/>
    <w:rPr>
      <w:rFonts w:ascii="宋体" w:hAnsi="宋体" w:eastAsia="宋体"/>
      <w:b/>
      <w:color w:val="000000"/>
      <w:sz w:val="20"/>
      <w:u w:val="none"/>
    </w:rPr>
  </w:style>
  <w:style w:type="character" w:customStyle="1" w:styleId="111">
    <w:name w:val="font81"/>
    <w:autoRedefine/>
    <w:qFormat/>
    <w:uiPriority w:val="0"/>
    <w:rPr>
      <w:rFonts w:ascii="宋体" w:hAnsi="宋体" w:eastAsia="宋体"/>
      <w:b/>
      <w:color w:val="000000"/>
      <w:sz w:val="22"/>
      <w:u w:val="single"/>
    </w:rPr>
  </w:style>
  <w:style w:type="character" w:customStyle="1" w:styleId="112">
    <w:name w:val="font31"/>
    <w:autoRedefine/>
    <w:qFormat/>
    <w:uiPriority w:val="0"/>
    <w:rPr>
      <w:rFonts w:ascii="Times New Roman" w:hAnsi="Times New Roman"/>
      <w:b/>
      <w:color w:val="000000"/>
      <w:sz w:val="20"/>
      <w:u w:val="none"/>
    </w:rPr>
  </w:style>
  <w:style w:type="character" w:customStyle="1" w:styleId="113">
    <w:name w:val="font61"/>
    <w:autoRedefine/>
    <w:qFormat/>
    <w:uiPriority w:val="0"/>
    <w:rPr>
      <w:rFonts w:ascii="Arial" w:hAnsi="Arial"/>
      <w:b/>
      <w:color w:val="000000"/>
      <w:sz w:val="20"/>
      <w:u w:val="single"/>
    </w:rPr>
  </w:style>
  <w:style w:type="character" w:customStyle="1" w:styleId="114">
    <w:name w:val="Footer Char"/>
    <w:autoRedefine/>
    <w:qFormat/>
    <w:locked/>
    <w:uiPriority w:val="99"/>
    <w:rPr>
      <w:rFonts w:eastAsia="宋体"/>
      <w:kern w:val="2"/>
      <w:sz w:val="18"/>
      <w:lang w:val="en-US" w:eastAsia="zh-CN"/>
    </w:rPr>
  </w:style>
  <w:style w:type="character" w:customStyle="1" w:styleId="115">
    <w:name w:val="font71"/>
    <w:autoRedefine/>
    <w:qFormat/>
    <w:uiPriority w:val="0"/>
    <w:rPr>
      <w:rFonts w:ascii="Times New Roman" w:hAnsi="Times New Roman"/>
      <w:b/>
      <w:color w:val="000000"/>
      <w:sz w:val="22"/>
      <w:u w:val="single"/>
    </w:rPr>
  </w:style>
  <w:style w:type="character" w:customStyle="1" w:styleId="116">
    <w:name w:val="font01"/>
    <w:autoRedefine/>
    <w:qFormat/>
    <w:uiPriority w:val="0"/>
    <w:rPr>
      <w:rFonts w:ascii="宋体" w:hAnsi="宋体" w:eastAsia="宋体"/>
      <w:color w:val="000000"/>
      <w:sz w:val="20"/>
      <w:u w:val="none"/>
    </w:rPr>
  </w:style>
  <w:style w:type="table" w:customStyle="1" w:styleId="117">
    <w:name w:val="Table Normal1"/>
    <w:autoRedefine/>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118">
    <w:name w:val="Table Normal2"/>
    <w:autoRedefine/>
    <w:semiHidden/>
    <w:qFormat/>
    <w:uiPriority w:val="99"/>
    <w:pPr>
      <w:widowControl w:val="0"/>
    </w:pPr>
    <w:rPr>
      <w:rFonts w:ascii="Calibri" w:hAnsi="Calibri"/>
      <w:sz w:val="22"/>
      <w:lang w:eastAsia="en-US"/>
    </w:rPr>
    <w:tblPr>
      <w:tblCellMar>
        <w:top w:w="0" w:type="dxa"/>
        <w:left w:w="0" w:type="dxa"/>
        <w:bottom w:w="0" w:type="dxa"/>
        <w:right w:w="0" w:type="dxa"/>
      </w:tblCellMar>
    </w:tblPr>
  </w:style>
  <w:style w:type="table" w:customStyle="1" w:styleId="119">
    <w:name w:val="Table Normal"/>
    <w:autoRedefine/>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styleId="120">
    <w:name w:val="List Paragraph"/>
    <w:basedOn w:val="1"/>
    <w:autoRedefine/>
    <w:qFormat/>
    <w:uiPriority w:val="1"/>
    <w:pPr>
      <w:autoSpaceDE w:val="0"/>
      <w:autoSpaceDN w:val="0"/>
      <w:ind w:left="424" w:firstLine="479"/>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4BF0B7-A42B-4832-9168-98875EACC7E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8592</Words>
  <Characters>9362</Characters>
  <Lines>526</Lines>
  <Paragraphs>148</Paragraphs>
  <TotalTime>10</TotalTime>
  <ScaleCrop>false</ScaleCrop>
  <LinksUpToDate>false</LinksUpToDate>
  <CharactersWithSpaces>10886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2021-06-11T08:40:00Z</dcterms:created>
  <dc:creator>微软用户</dc:creator>
  <cp:lastModifiedBy>徐Lucy</cp:lastModifiedBy>
  <cp:lastPrinted>2021-06-29T01:06:00Z</cp:lastPrinted>
  <dcterms:modified xsi:type="dcterms:W3CDTF">2024-02-05T04:38:13Z</dcterms:modified>
  <dc:title>1</dc:title>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6D18159F732E4B0C92905B0FFFF38E33_13</vt:lpwstr>
  </property>
</Properties>
</file>